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22"/>
          <w:rFonts w:ascii="宋体" w:hAnsi="宋体"/>
          <w:b/>
          <w:sz w:val="84"/>
          <w:szCs w:val="84"/>
        </w:rPr>
      </w:pPr>
    </w:p>
    <w:p>
      <w:pPr>
        <w:pStyle w:val="18"/>
      </w:pPr>
    </w:p>
    <w:p>
      <w:pPr>
        <w:snapToGrid w:val="0"/>
        <w:jc w:val="center"/>
        <w:rPr>
          <w:rStyle w:val="22"/>
          <w:rFonts w:ascii="方正小标宋_GBK" w:hAnsi="方正小标宋_GBK" w:eastAsia="方正小标宋_GBK" w:cs="方正小标宋_GBK"/>
          <w:bCs/>
          <w:sz w:val="84"/>
          <w:szCs w:val="84"/>
        </w:rPr>
      </w:pPr>
      <w:r>
        <w:rPr>
          <w:rStyle w:val="22"/>
          <w:rFonts w:hint="eastAsia" w:ascii="方正小标宋_GBK" w:hAnsi="方正小标宋_GBK" w:eastAsia="方正小标宋_GBK" w:cs="方正小标宋_GBK"/>
          <w:bCs/>
          <w:sz w:val="84"/>
          <w:szCs w:val="84"/>
        </w:rPr>
        <w:t>竞争性磋商文件</w:t>
      </w: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snapToGrid w:val="0"/>
        <w:spacing w:line="360" w:lineRule="exact"/>
        <w:jc w:val="center"/>
        <w:rPr>
          <w:rStyle w:val="22"/>
          <w:rFonts w:ascii="宋体" w:hAnsi="宋体"/>
          <w:b/>
          <w:sz w:val="30"/>
        </w:rPr>
      </w:pPr>
    </w:p>
    <w:p>
      <w:pPr>
        <w:pStyle w:val="18"/>
        <w:snapToGrid w:val="0"/>
        <w:rPr>
          <w:rStyle w:val="22"/>
          <w:rFonts w:ascii="宋体" w:hAnsi="宋体"/>
        </w:rPr>
      </w:pPr>
    </w:p>
    <w:p>
      <w:pPr>
        <w:snapToGrid w:val="0"/>
        <w:spacing w:line="360" w:lineRule="exact"/>
        <w:jc w:val="center"/>
        <w:rPr>
          <w:rStyle w:val="22"/>
          <w:rFonts w:ascii="宋体" w:hAnsi="宋体"/>
          <w:b/>
          <w:sz w:val="30"/>
        </w:rPr>
      </w:pPr>
    </w:p>
    <w:p>
      <w:pPr>
        <w:snapToGrid w:val="0"/>
        <w:spacing w:line="560" w:lineRule="exact"/>
        <w:ind w:left="1606" w:hanging="1606"/>
        <w:rPr>
          <w:rStyle w:val="22"/>
          <w:rFonts w:ascii="宋体" w:hAnsi="宋体"/>
          <w:sz w:val="32"/>
          <w:szCs w:val="32"/>
          <w:u w:val="single"/>
        </w:rPr>
      </w:pPr>
      <w:r>
        <w:rPr>
          <w:rStyle w:val="22"/>
          <w:rFonts w:hint="eastAsia" w:ascii="黑体" w:hAnsi="黑体" w:eastAsia="黑体" w:cs="黑体"/>
          <w:sz w:val="32"/>
          <w:szCs w:val="32"/>
        </w:rPr>
        <w:t>项目名称</w:t>
      </w:r>
      <w:r>
        <w:rPr>
          <w:rStyle w:val="22"/>
          <w:rFonts w:ascii="宋体" w:hAnsi="宋体" w:cs="宋体"/>
          <w:b/>
          <w:bCs/>
          <w:sz w:val="32"/>
          <w:szCs w:val="32"/>
        </w:rPr>
        <w:t>：</w:t>
      </w:r>
      <w:r>
        <w:rPr>
          <w:rStyle w:val="22"/>
          <w:rFonts w:hint="eastAsia" w:ascii="仿宋_GB2312" w:hAnsi="仿宋_GB2312" w:eastAsia="仿宋_GB2312" w:cs="仿宋_GB2312"/>
          <w:sz w:val="32"/>
          <w:szCs w:val="32"/>
          <w:u w:val="single" w:color="000000"/>
        </w:rPr>
        <w:t>南通市创聚商贸有限公司海门机关超市年度经营项目</w:t>
      </w:r>
    </w:p>
    <w:p>
      <w:pPr>
        <w:snapToGrid w:val="0"/>
        <w:spacing w:line="560" w:lineRule="exact"/>
        <w:jc w:val="left"/>
        <w:rPr>
          <w:rStyle w:val="22"/>
          <w:rFonts w:ascii="仿宋_GB2312" w:hAnsi="仿宋_GB2312" w:eastAsia="仿宋_GB2312" w:cs="仿宋_GB2312"/>
          <w:b/>
          <w:bCs/>
          <w:sz w:val="32"/>
          <w:szCs w:val="32"/>
        </w:rPr>
      </w:pPr>
      <w:r>
        <w:rPr>
          <w:rStyle w:val="22"/>
          <w:rFonts w:hint="eastAsia" w:ascii="黑体" w:hAnsi="黑体" w:eastAsia="黑体" w:cs="黑体"/>
          <w:sz w:val="32"/>
          <w:szCs w:val="32"/>
        </w:rPr>
        <w:t>采购单位</w:t>
      </w:r>
      <w:r>
        <w:rPr>
          <w:rStyle w:val="22"/>
          <w:rFonts w:ascii="宋体" w:hAnsi="宋体" w:cs="宋体"/>
          <w:b/>
          <w:bCs/>
          <w:sz w:val="32"/>
          <w:szCs w:val="32"/>
        </w:rPr>
        <w:t>：</w:t>
      </w:r>
      <w:r>
        <w:rPr>
          <w:rStyle w:val="22"/>
          <w:rFonts w:hint="eastAsia" w:ascii="仿宋_GB2312" w:hAnsi="仿宋_GB2312" w:eastAsia="仿宋_GB2312" w:cs="仿宋_GB2312"/>
          <w:sz w:val="32"/>
          <w:szCs w:val="32"/>
          <w:u w:val="single" w:color="000000"/>
        </w:rPr>
        <w:t>南通市创聚商贸有限公司</w:t>
      </w:r>
    </w:p>
    <w:p>
      <w:pPr>
        <w:snapToGrid w:val="0"/>
        <w:spacing w:line="360" w:lineRule="exact"/>
        <w:jc w:val="center"/>
        <w:rPr>
          <w:rStyle w:val="22"/>
          <w:rFonts w:ascii="宋体" w:hAnsi="宋体" w:cs="宋体"/>
          <w:b/>
          <w:bCs/>
          <w:sz w:val="30"/>
        </w:rPr>
      </w:pPr>
    </w:p>
    <w:p>
      <w:pPr>
        <w:snapToGrid w:val="0"/>
        <w:spacing w:line="360" w:lineRule="exact"/>
        <w:jc w:val="center"/>
        <w:rPr>
          <w:rStyle w:val="22"/>
          <w:rFonts w:ascii="宋体" w:hAnsi="宋体"/>
          <w:sz w:val="30"/>
        </w:rPr>
      </w:pPr>
    </w:p>
    <w:p>
      <w:pPr>
        <w:pStyle w:val="18"/>
        <w:snapToGrid w:val="0"/>
        <w:rPr>
          <w:rStyle w:val="22"/>
          <w:rFonts w:ascii="宋体" w:hAnsi="宋体"/>
          <w:sz w:val="30"/>
        </w:rPr>
      </w:pPr>
    </w:p>
    <w:p>
      <w:pPr>
        <w:pStyle w:val="18"/>
        <w:snapToGrid w:val="0"/>
        <w:rPr>
          <w:rStyle w:val="22"/>
          <w:rFonts w:ascii="宋体" w:hAnsi="宋体"/>
          <w:sz w:val="30"/>
        </w:rPr>
      </w:pPr>
    </w:p>
    <w:p>
      <w:pPr>
        <w:pStyle w:val="18"/>
        <w:snapToGrid w:val="0"/>
        <w:rPr>
          <w:rStyle w:val="22"/>
          <w:rFonts w:ascii="宋体" w:hAnsi="宋体"/>
          <w:sz w:val="30"/>
        </w:rPr>
      </w:pPr>
    </w:p>
    <w:p>
      <w:pPr>
        <w:pStyle w:val="18"/>
        <w:snapToGrid w:val="0"/>
        <w:rPr>
          <w:rStyle w:val="22"/>
          <w:rFonts w:ascii="宋体" w:hAnsi="宋体"/>
          <w:sz w:val="30"/>
        </w:rPr>
      </w:pPr>
    </w:p>
    <w:p>
      <w:pPr>
        <w:pStyle w:val="18"/>
        <w:snapToGrid w:val="0"/>
        <w:rPr>
          <w:rStyle w:val="22"/>
          <w:rFonts w:ascii="宋体" w:hAnsi="宋体"/>
          <w:sz w:val="30"/>
        </w:rPr>
      </w:pPr>
    </w:p>
    <w:p>
      <w:pPr>
        <w:snapToGrid w:val="0"/>
        <w:spacing w:line="360" w:lineRule="exact"/>
        <w:rPr>
          <w:rStyle w:val="22"/>
          <w:rFonts w:ascii="宋体" w:hAnsi="宋体"/>
          <w:sz w:val="30"/>
        </w:rPr>
      </w:pPr>
    </w:p>
    <w:p>
      <w:pPr>
        <w:snapToGrid w:val="0"/>
        <w:spacing w:line="360" w:lineRule="exact"/>
        <w:rPr>
          <w:rStyle w:val="22"/>
          <w:rFonts w:ascii="宋体" w:hAnsi="宋体"/>
          <w:sz w:val="30"/>
        </w:rPr>
      </w:pPr>
    </w:p>
    <w:p>
      <w:pPr>
        <w:snapToGrid w:val="0"/>
        <w:spacing w:line="560" w:lineRule="exact"/>
        <w:jc w:val="center"/>
        <w:rPr>
          <w:rStyle w:val="22"/>
          <w:rFonts w:ascii="宋体" w:hAnsi="宋体" w:cs="宋体"/>
          <w:b/>
          <w:bCs/>
          <w:sz w:val="28"/>
          <w:szCs w:val="28"/>
        </w:rPr>
      </w:pPr>
      <w:r>
        <w:rPr>
          <w:rStyle w:val="22"/>
          <w:rFonts w:hint="eastAsia" w:ascii="楷体" w:hAnsi="楷体" w:eastAsia="楷体" w:cs="楷体"/>
          <w:sz w:val="32"/>
          <w:szCs w:val="32"/>
        </w:rPr>
        <w:t>江苏天业工程咨询房地产估价有限责任公司</w:t>
      </w:r>
    </w:p>
    <w:p>
      <w:pPr>
        <w:snapToGrid w:val="0"/>
        <w:spacing w:line="560" w:lineRule="exact"/>
        <w:jc w:val="center"/>
        <w:rPr>
          <w:rFonts w:ascii="楷体" w:hAnsi="楷体" w:eastAsia="楷体" w:cs="楷体"/>
          <w:sz w:val="32"/>
          <w:szCs w:val="32"/>
        </w:rPr>
      </w:pPr>
      <w:r>
        <w:rPr>
          <w:rFonts w:hint="eastAsia" w:ascii="楷体" w:hAnsi="楷体" w:eastAsia="楷体" w:cs="楷体"/>
          <w:sz w:val="32"/>
          <w:szCs w:val="32"/>
          <w:u w:val="single"/>
        </w:rPr>
        <w:t>二○二二</w:t>
      </w:r>
      <w:r>
        <w:rPr>
          <w:rFonts w:hint="eastAsia" w:ascii="楷体" w:hAnsi="楷体" w:eastAsia="楷体" w:cs="楷体"/>
          <w:sz w:val="32"/>
          <w:szCs w:val="32"/>
        </w:rPr>
        <w:t>年</w:t>
      </w:r>
      <w:r>
        <w:rPr>
          <w:rFonts w:hint="eastAsia" w:ascii="楷体" w:hAnsi="楷体" w:eastAsia="楷体" w:cs="楷体"/>
          <w:sz w:val="32"/>
          <w:szCs w:val="32"/>
          <w:lang w:val="en-US" w:eastAsia="zh-CN"/>
        </w:rPr>
        <w:t>四</w:t>
      </w:r>
      <w:r>
        <w:rPr>
          <w:rFonts w:hint="eastAsia" w:ascii="楷体" w:hAnsi="楷体" w:eastAsia="楷体" w:cs="楷体"/>
          <w:sz w:val="32"/>
          <w:szCs w:val="32"/>
        </w:rPr>
        <w:t>月</w:t>
      </w:r>
      <w:r>
        <w:rPr>
          <w:rFonts w:hint="eastAsia" w:ascii="楷体" w:hAnsi="楷体" w:eastAsia="楷体" w:cs="楷体"/>
          <w:sz w:val="32"/>
          <w:szCs w:val="32"/>
          <w:lang w:val="en-US" w:eastAsia="zh-CN"/>
        </w:rPr>
        <w:t>二十六</w:t>
      </w:r>
      <w:r>
        <w:rPr>
          <w:rFonts w:hint="eastAsia" w:ascii="楷体" w:hAnsi="楷体" w:eastAsia="楷体" w:cs="楷体"/>
          <w:sz w:val="32"/>
          <w:szCs w:val="32"/>
        </w:rPr>
        <w:t>日</w:t>
      </w:r>
    </w:p>
    <w:p>
      <w:pPr>
        <w:snapToGrid w:val="0"/>
        <w:spacing w:line="360" w:lineRule="auto"/>
        <w:jc w:val="center"/>
        <w:rPr>
          <w:rStyle w:val="22"/>
          <w:rFonts w:ascii="宋体" w:hAnsi="宋体" w:cs="宋体"/>
          <w:b/>
          <w:bCs/>
          <w:sz w:val="32"/>
          <w:szCs w:val="32"/>
        </w:rPr>
      </w:pPr>
      <w:r>
        <w:rPr>
          <w:rStyle w:val="22"/>
          <w:rFonts w:hint="eastAsia" w:ascii="黑体" w:hAnsi="黑体" w:eastAsia="黑体" w:cs="黑体"/>
          <w:sz w:val="32"/>
          <w:szCs w:val="32"/>
        </w:rPr>
        <w:t>第一部分  竞争性磋商公告</w:t>
      </w:r>
    </w:p>
    <w:p>
      <w:pPr>
        <w:snapToGrid w:val="0"/>
        <w:spacing w:line="560" w:lineRule="exact"/>
        <w:ind w:left="105" w:leftChars="50"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根据政府采购相关法律法规的规定，</w:t>
      </w:r>
      <w:r>
        <w:rPr>
          <w:rStyle w:val="22"/>
          <w:rFonts w:hint="eastAsia" w:ascii="仿宋_GB2312" w:hAnsi="仿宋_GB2312" w:eastAsia="仿宋_GB2312" w:cs="仿宋_GB2312"/>
          <w:sz w:val="32"/>
          <w:szCs w:val="32"/>
          <w:u w:val="single" w:color="000000"/>
        </w:rPr>
        <w:t>江苏天业工程咨询房地产估价有限责任公司</w:t>
      </w:r>
      <w:r>
        <w:rPr>
          <w:rStyle w:val="22"/>
          <w:rFonts w:hint="eastAsia" w:ascii="仿宋_GB2312" w:hAnsi="仿宋_GB2312" w:eastAsia="仿宋_GB2312" w:cs="仿宋_GB2312"/>
          <w:sz w:val="32"/>
          <w:szCs w:val="32"/>
        </w:rPr>
        <w:t>受</w:t>
      </w:r>
      <w:r>
        <w:rPr>
          <w:rStyle w:val="22"/>
          <w:rFonts w:hint="eastAsia" w:ascii="仿宋_GB2312" w:hAnsi="仿宋_GB2312" w:eastAsia="仿宋_GB2312" w:cs="仿宋_GB2312"/>
          <w:sz w:val="32"/>
          <w:szCs w:val="32"/>
          <w:u w:val="single" w:color="000000"/>
        </w:rPr>
        <w:t>南通市创聚商贸有限公司</w:t>
      </w:r>
      <w:r>
        <w:rPr>
          <w:rStyle w:val="22"/>
          <w:rFonts w:hint="eastAsia" w:ascii="仿宋_GB2312" w:hAnsi="仿宋_GB2312" w:eastAsia="仿宋_GB2312" w:cs="仿宋_GB2312"/>
          <w:sz w:val="32"/>
          <w:szCs w:val="32"/>
        </w:rPr>
        <w:t>的委托，就</w:t>
      </w:r>
      <w:r>
        <w:rPr>
          <w:rStyle w:val="22"/>
          <w:rFonts w:hint="eastAsia" w:ascii="仿宋_GB2312" w:hAnsi="仿宋_GB2312" w:eastAsia="仿宋_GB2312" w:cs="仿宋_GB2312"/>
          <w:sz w:val="32"/>
          <w:szCs w:val="32"/>
          <w:u w:val="single" w:color="000000"/>
        </w:rPr>
        <w:t xml:space="preserve"> 南通市创聚商贸有限公司海门机关超市年度经营项目</w:t>
      </w:r>
      <w:r>
        <w:rPr>
          <w:rStyle w:val="22"/>
          <w:rFonts w:hint="eastAsia" w:ascii="仿宋_GB2312" w:hAnsi="仿宋_GB2312" w:eastAsia="仿宋_GB2312" w:cs="仿宋_GB2312"/>
          <w:sz w:val="32"/>
          <w:szCs w:val="32"/>
        </w:rPr>
        <w:t>进行磋商，欢迎符合要求的单位前来参与。</w:t>
      </w:r>
    </w:p>
    <w:p>
      <w:pPr>
        <w:snapToGrid w:val="0"/>
        <w:spacing w:line="560" w:lineRule="exact"/>
        <w:ind w:firstLine="640" w:firstLineChars="200"/>
        <w:jc w:val="left"/>
        <w:rPr>
          <w:rStyle w:val="22"/>
          <w:rFonts w:ascii="仿宋_GB2312" w:hAnsi="仿宋_GB2312" w:eastAsia="仿宋_GB2312" w:cs="仿宋_GB2312"/>
          <w:color w:val="000000"/>
          <w:sz w:val="32"/>
          <w:szCs w:val="32"/>
        </w:rPr>
      </w:pPr>
      <w:r>
        <w:rPr>
          <w:rStyle w:val="22"/>
          <w:rFonts w:hint="eastAsia" w:ascii="仿宋_GB2312" w:hAnsi="仿宋_GB2312" w:eastAsia="仿宋_GB2312" w:cs="仿宋_GB2312"/>
          <w:sz w:val="32"/>
          <w:szCs w:val="32"/>
        </w:rPr>
        <w:t>一、</w:t>
      </w:r>
      <w:r>
        <w:rPr>
          <w:rStyle w:val="22"/>
          <w:rFonts w:hint="eastAsia" w:ascii="仿宋_GB2312" w:hAnsi="仿宋_GB2312" w:eastAsia="仿宋_GB2312" w:cs="仿宋_GB2312"/>
          <w:color w:val="000000"/>
          <w:sz w:val="32"/>
          <w:szCs w:val="32"/>
        </w:rPr>
        <w:t>项目名称：南通市创聚商贸有限公司海门机关超市年度经营项目</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本项目主要内容简介：具体内容详见招标文件采购项目需求。</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二、本项目最高限价:本项目投标报价按营业额计算，结算比例为营业总额（含税）85%；投标报价超过最高限价的视为无效报价（注：中标人年度供应及服务费为全年营业收入总额（含税）×中标费率，其余部分为招标人收入分成，收入分成为全年营业收入总额（含税）×（1-中标费率））</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三、投标供应商的资格要求:</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1、符合《中华人民共和国政府采购法》第二十二条对供应商的资格要求:</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①法人或者其他组织的营业执照等证明文件，自然人的身份证明；</w:t>
      </w:r>
    </w:p>
    <w:p>
      <w:pPr>
        <w:snapToGrid w:val="0"/>
        <w:spacing w:line="560" w:lineRule="exact"/>
        <w:ind w:firstLine="640" w:firstLineChars="200"/>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②提供上一年度的财务报告（成立不满一年不需提供）及上一年度的财务状况报告承诺函（格式见招标文件附件）；  </w:t>
      </w:r>
    </w:p>
    <w:p>
      <w:pPr>
        <w:snapToGrid w:val="0"/>
        <w:spacing w:line="560" w:lineRule="exact"/>
        <w:ind w:firstLine="640" w:firstLineChars="200"/>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③具有履行合同所必需的设备和专业技术能力（提供承诺函）（格式见招标文件附件）；</w:t>
      </w:r>
    </w:p>
    <w:p>
      <w:pPr>
        <w:pStyle w:val="18"/>
        <w:snapToGrid w:val="0"/>
        <w:spacing w:line="560" w:lineRule="exact"/>
        <w:ind w:firstLine="640" w:firstLineChars="200"/>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④有依法缴纳税收和社会保障资金的良好记录（提供依法缴纳税收和社会保障资金的相关材料）；</w:t>
      </w:r>
    </w:p>
    <w:p>
      <w:pPr>
        <w:snapToGrid w:val="0"/>
        <w:spacing w:line="560" w:lineRule="exact"/>
        <w:ind w:firstLine="640" w:firstLineChars="200"/>
        <w:jc w:val="left"/>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⑤参加政府采购活动前三年内，在经营活动中没有重大违法记录（提供参加本项目政府采购活动前3年内在经营活动中没有重大违法记录的书面声明）（格式见招标文件附件）。</w:t>
      </w:r>
    </w:p>
    <w:p>
      <w:pPr>
        <w:snapToGrid w:val="0"/>
        <w:spacing w:line="560" w:lineRule="exact"/>
        <w:ind w:firstLine="643" w:firstLineChars="200"/>
        <w:jc w:val="left"/>
        <w:rPr>
          <w:rStyle w:val="22"/>
          <w:rFonts w:ascii="仿宋_GB2312" w:hAnsi="仿宋_GB2312" w:eastAsia="仿宋_GB2312" w:cs="仿宋_GB2312"/>
          <w:b/>
          <w:bCs/>
          <w:sz w:val="32"/>
          <w:szCs w:val="32"/>
        </w:rPr>
      </w:pPr>
      <w:r>
        <w:rPr>
          <w:rStyle w:val="22"/>
          <w:rFonts w:hint="eastAsia" w:ascii="仿宋_GB2312" w:hAnsi="仿宋_GB2312" w:eastAsia="仿宋_GB2312" w:cs="仿宋_GB2312"/>
          <w:b/>
          <w:bCs/>
          <w:sz w:val="32"/>
          <w:szCs w:val="32"/>
        </w:rPr>
        <w:t>2、投标供应商其他资格要求：投标人必须具备有效的“食品经营许可证”。</w:t>
      </w:r>
    </w:p>
    <w:p>
      <w:pPr>
        <w:snapToGrid w:val="0"/>
        <w:spacing w:line="560" w:lineRule="exact"/>
        <w:ind w:firstLine="640" w:firstLineChars="200"/>
        <w:jc w:val="left"/>
        <w:rPr>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3、未被“信用中国（www.creditchina.gov.cn）”、“中国政府采购网  （http://www.ccgp.gov.cn/）”、信用江苏等网站列入失信被执行人或重大税收违法案件当事人名单或政府采购严重失信行为记录名单。(提供网页查询结果加盖公章)。</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4、本项目不接受联合体投标。</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四、招标采购方式：竞争性磋商</w:t>
      </w:r>
    </w:p>
    <w:p>
      <w:pPr>
        <w:snapToGrid w:val="0"/>
        <w:spacing w:line="560" w:lineRule="exact"/>
        <w:ind w:firstLine="624" w:firstLineChars="195"/>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五、标书发售地点：符合招标条件的供应商如决定参与投标，请登录江苏海润城市发展集团有限公司官网（http://cfjt.haimen.gov.cn/）。</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六、投标保证金: 投标保证金金额为人民币</w:t>
      </w:r>
      <w:r>
        <w:rPr>
          <w:rStyle w:val="22"/>
          <w:rFonts w:hint="eastAsia" w:ascii="仿宋_GB2312" w:hAnsi="仿宋_GB2312" w:eastAsia="仿宋_GB2312" w:cs="仿宋_GB2312"/>
          <w:sz w:val="32"/>
          <w:szCs w:val="32"/>
          <w:u w:val="single" w:color="000000"/>
        </w:rPr>
        <w:t>5000</w:t>
      </w:r>
      <w:r>
        <w:rPr>
          <w:rStyle w:val="22"/>
          <w:rFonts w:hint="eastAsia" w:ascii="仿宋_GB2312" w:hAnsi="仿宋_GB2312" w:eastAsia="仿宋_GB2312" w:cs="仿宋_GB2312"/>
          <w:sz w:val="32"/>
          <w:szCs w:val="32"/>
        </w:rPr>
        <w:t>元整，现金方式递交（采用信封包装），不重复递交。如未携带，投标文件将被拒绝，未中标单位的投标保证金当场退还。中标人的投标保证金转为履约保证金,不足部份在领取中标通知书前补足。</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七、</w:t>
      </w:r>
      <w:r>
        <w:rPr>
          <w:rStyle w:val="22"/>
          <w:rFonts w:hint="eastAsia" w:ascii="仿宋_GB2312" w:hAnsi="仿宋_GB2312" w:eastAsia="仿宋_GB2312" w:cs="仿宋_GB2312"/>
          <w:color w:val="FF0000"/>
          <w:sz w:val="32"/>
          <w:szCs w:val="32"/>
        </w:rPr>
        <w:t>投标截止及开标时间：</w:t>
      </w:r>
      <w:r>
        <w:rPr>
          <w:rStyle w:val="22"/>
          <w:rFonts w:hint="eastAsia" w:ascii="仿宋_GB2312" w:hAnsi="仿宋_GB2312" w:eastAsia="仿宋_GB2312" w:cs="仿宋_GB2312"/>
          <w:b/>
          <w:bCs/>
          <w:color w:val="FF0000"/>
          <w:sz w:val="32"/>
          <w:szCs w:val="32"/>
          <w:u w:val="single" w:color="FF0000"/>
        </w:rPr>
        <w:t xml:space="preserve"> 2022年</w:t>
      </w:r>
      <w:r>
        <w:rPr>
          <w:rStyle w:val="22"/>
          <w:rFonts w:hint="eastAsia" w:ascii="仿宋_GB2312" w:hAnsi="仿宋_GB2312" w:eastAsia="仿宋_GB2312" w:cs="仿宋_GB2312"/>
          <w:b/>
          <w:bCs/>
          <w:color w:val="FF0000"/>
          <w:sz w:val="32"/>
          <w:szCs w:val="32"/>
          <w:u w:val="single" w:color="FF0000"/>
          <w:lang w:val="en-US" w:eastAsia="zh-CN"/>
        </w:rPr>
        <w:t>5</w:t>
      </w:r>
      <w:r>
        <w:rPr>
          <w:rStyle w:val="22"/>
          <w:rFonts w:hint="eastAsia" w:ascii="仿宋_GB2312" w:hAnsi="仿宋_GB2312" w:eastAsia="仿宋_GB2312" w:cs="仿宋_GB2312"/>
          <w:b/>
          <w:bCs/>
          <w:color w:val="FF0000"/>
          <w:sz w:val="32"/>
          <w:szCs w:val="32"/>
          <w:u w:val="single" w:color="FF0000"/>
        </w:rPr>
        <w:t>月</w:t>
      </w:r>
      <w:r>
        <w:rPr>
          <w:rStyle w:val="22"/>
          <w:rFonts w:hint="eastAsia" w:ascii="仿宋_GB2312" w:hAnsi="仿宋_GB2312" w:eastAsia="仿宋_GB2312" w:cs="仿宋_GB2312"/>
          <w:b/>
          <w:bCs/>
          <w:color w:val="FF0000"/>
          <w:sz w:val="32"/>
          <w:szCs w:val="32"/>
          <w:u w:val="single" w:color="FF0000"/>
          <w:lang w:val="en-US" w:eastAsia="zh-CN"/>
        </w:rPr>
        <w:t>12</w:t>
      </w:r>
      <w:r>
        <w:rPr>
          <w:rStyle w:val="22"/>
          <w:rFonts w:hint="eastAsia" w:ascii="仿宋_GB2312" w:hAnsi="仿宋_GB2312" w:eastAsia="仿宋_GB2312" w:cs="仿宋_GB2312"/>
          <w:b/>
          <w:bCs/>
          <w:color w:val="FF0000"/>
          <w:sz w:val="32"/>
          <w:szCs w:val="32"/>
          <w:u w:val="single" w:color="FF0000"/>
        </w:rPr>
        <w:t>日09时00分</w:t>
      </w:r>
      <w:r>
        <w:rPr>
          <w:rStyle w:val="22"/>
          <w:rFonts w:hint="eastAsia" w:ascii="仿宋_GB2312" w:hAnsi="仿宋_GB2312" w:eastAsia="仿宋_GB2312" w:cs="仿宋_GB2312"/>
          <w:color w:val="FF0000"/>
          <w:sz w:val="32"/>
          <w:szCs w:val="32"/>
        </w:rPr>
        <w:t>（北京时间</w:t>
      </w:r>
      <w:r>
        <w:rPr>
          <w:rStyle w:val="22"/>
          <w:rFonts w:hint="eastAsia" w:ascii="仿宋_GB2312" w:hAnsi="仿宋_GB2312" w:eastAsia="仿宋_GB2312" w:cs="仿宋_GB2312"/>
          <w:sz w:val="32"/>
          <w:szCs w:val="32"/>
        </w:rPr>
        <w:t>）。</w:t>
      </w:r>
    </w:p>
    <w:p>
      <w:pPr>
        <w:pStyle w:val="18"/>
        <w:snapToGrid w:val="0"/>
        <w:spacing w:line="560" w:lineRule="exact"/>
        <w:ind w:firstLine="800" w:firstLineChars="250"/>
        <w:rPr>
          <w:rStyle w:val="22"/>
          <w:rFonts w:ascii="仿宋_GB2312" w:hAnsi="仿宋_GB2312" w:eastAsia="仿宋_GB2312" w:cs="仿宋_GB2312"/>
          <w:b/>
          <w:sz w:val="32"/>
          <w:szCs w:val="32"/>
        </w:rPr>
      </w:pPr>
      <w:r>
        <w:rPr>
          <w:rStyle w:val="22"/>
          <w:rFonts w:hint="eastAsia" w:ascii="仿宋_GB2312" w:hAnsi="仿宋_GB2312" w:eastAsia="仿宋_GB2312" w:cs="仿宋_GB2312"/>
          <w:sz w:val="32"/>
          <w:szCs w:val="32"/>
        </w:rPr>
        <w:t>八、递交投标文件、开标地点：海门区张謇大道897号嘉陵江商务大厦216室开标室一。</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九、联系方式： </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招标人：南通市创聚商贸有限公司</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rPr>
        <w:t>张女士   联系电话：0513-68062819</w:t>
      </w:r>
      <w:r>
        <w:rPr>
          <w:rStyle w:val="22"/>
          <w:rFonts w:hint="eastAsia" w:ascii="仿宋_GB2312" w:hAnsi="仿宋_GB2312" w:eastAsia="仿宋_GB2312" w:cs="仿宋_GB2312"/>
          <w:sz w:val="32"/>
          <w:szCs w:val="32"/>
        </w:rPr>
        <w:t xml:space="preserve">　  </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招标代理单位：江苏天业工程咨询房地产估价有限责任公司</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联系人：徐女士  联系电话：0513-82677799 </w:t>
      </w:r>
    </w:p>
    <w:p>
      <w:pPr>
        <w:snapToGrid w:val="0"/>
        <w:spacing w:line="560" w:lineRule="exact"/>
        <w:ind w:firstLine="640"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对有关技术及采购需求问题，请与采购单位联系；对有关采购文件的询问，请与采购代理</w:t>
      </w:r>
      <w:r>
        <w:rPr>
          <w:rStyle w:val="22"/>
          <w:rFonts w:hint="eastAsia" w:ascii="仿宋_GB2312" w:hAnsi="仿宋_GB2312" w:eastAsia="仿宋_GB2312" w:cs="仿宋_GB2312"/>
          <w:kern w:val="0"/>
          <w:sz w:val="32"/>
          <w:szCs w:val="32"/>
        </w:rPr>
        <w:t>机构</w:t>
      </w:r>
      <w:r>
        <w:rPr>
          <w:rStyle w:val="22"/>
          <w:rFonts w:hint="eastAsia" w:ascii="仿宋_GB2312" w:hAnsi="仿宋_GB2312" w:eastAsia="仿宋_GB2312" w:cs="仿宋_GB2312"/>
          <w:sz w:val="32"/>
          <w:szCs w:val="32"/>
        </w:rPr>
        <w:t>联系。</w:t>
      </w:r>
    </w:p>
    <w:p>
      <w:pPr>
        <w:snapToGrid w:val="0"/>
        <w:spacing w:line="560" w:lineRule="exact"/>
        <w:ind w:left="479" w:leftChars="228"/>
        <w:jc w:val="left"/>
        <w:rPr>
          <w:rStyle w:val="22"/>
          <w:rFonts w:ascii="仿宋_GB2312" w:hAnsi="仿宋_GB2312" w:eastAsia="仿宋_GB2312" w:cs="仿宋_GB2312"/>
          <w:b/>
          <w:sz w:val="32"/>
          <w:szCs w:val="32"/>
        </w:rPr>
      </w:pPr>
      <w:r>
        <w:rPr>
          <w:rStyle w:val="22"/>
          <w:rFonts w:hint="eastAsia" w:ascii="仿宋_GB2312" w:hAnsi="仿宋_GB2312" w:eastAsia="仿宋_GB2312" w:cs="仿宋_GB2312"/>
          <w:b/>
          <w:sz w:val="32"/>
          <w:szCs w:val="32"/>
        </w:rPr>
        <w:t>友情提醒：</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1、请各供应商连续关注本网站可能发生的相关变化等信息。如没有及时获悉相关变化而引起的后果由供应商自负。</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2、请各供应商认真阅读招标文件，</w:t>
      </w:r>
      <w:r>
        <w:rPr>
          <w:rStyle w:val="22"/>
          <w:rFonts w:hint="eastAsia" w:ascii="仿宋_GB2312" w:hAnsi="仿宋_GB2312" w:eastAsia="仿宋_GB2312" w:cs="仿宋_GB2312"/>
          <w:b/>
          <w:sz w:val="32"/>
          <w:szCs w:val="32"/>
        </w:rPr>
        <w:t>严格遵守时间</w:t>
      </w:r>
      <w:r>
        <w:rPr>
          <w:rStyle w:val="22"/>
          <w:rFonts w:hint="eastAsia" w:ascii="仿宋_GB2312" w:hAnsi="仿宋_GB2312" w:eastAsia="仿宋_GB2312" w:cs="仿宋_GB2312"/>
          <w:sz w:val="32"/>
          <w:szCs w:val="32"/>
        </w:rPr>
        <w:t>、资料提供等相关约定。</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w:t>
      </w:r>
      <w:r>
        <w:rPr>
          <w:rStyle w:val="22"/>
          <w:rFonts w:hint="eastAsia" w:ascii="仿宋_GB2312" w:hAnsi="仿宋_GB2312" w:eastAsia="仿宋_GB2312" w:cs="仿宋_GB2312"/>
          <w:sz w:val="32"/>
          <w:szCs w:val="32"/>
          <w:lang w:val="zh-CN"/>
        </w:rPr>
        <w:t>请各</w:t>
      </w:r>
      <w:r>
        <w:rPr>
          <w:rStyle w:val="22"/>
          <w:rFonts w:hint="eastAsia" w:ascii="仿宋_GB2312" w:hAnsi="仿宋_GB2312" w:eastAsia="仿宋_GB2312" w:cs="仿宋_GB2312"/>
          <w:sz w:val="32"/>
          <w:szCs w:val="32"/>
        </w:rPr>
        <w:t>供应商认真对照资格要求，如不符合要求，无意或故意参与报名、投标所产生的一切后果由供应商自行承担。</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进入嘉陵江商务大厦参与招投标活动人员须全程佩戴无呼吸阀口罩。所有进入开评标室的人员请提前准备好“行程码”、“苏康码”“48小时核酸阴性检测证明”（48小时自核酸检测报告上的采样时间起算）并主动出示，同时配合测温、查码等工作。未佩戴口罩、无48小时核酸阴性检测证明、无健康码、行程码或以上两码异常者不得参与招投标活动。</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5.第八部分附件《新冠肺炎疫情防控承诺书》由参加投标人员签署后单独存放，现场递交。</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6.因违反上述规定造成的招投标活动延误、暂停或取消的，后果由相关责任人自负。</w:t>
      </w:r>
    </w:p>
    <w:p>
      <w:pPr>
        <w:snapToGrid w:val="0"/>
        <w:spacing w:line="560" w:lineRule="exact"/>
        <w:ind w:firstLine="640" w:firstLineChars="200"/>
        <w:rPr>
          <w:rFonts w:ascii="仿宋_GB2312" w:hAnsi="仿宋_GB2312" w:eastAsia="仿宋_GB2312" w:cs="仿宋_GB2312"/>
          <w:sz w:val="32"/>
          <w:szCs w:val="32"/>
        </w:rPr>
      </w:pPr>
      <w:r>
        <w:rPr>
          <w:rStyle w:val="22"/>
          <w:rFonts w:hint="eastAsia" w:ascii="仿宋_GB2312" w:hAnsi="仿宋_GB2312" w:eastAsia="仿宋_GB2312" w:cs="仿宋_GB2312"/>
          <w:sz w:val="32"/>
          <w:szCs w:val="32"/>
        </w:rPr>
        <w:t>7.为严格落实疫情防控常态化管控措施，投标单位进入开标地点（嘉陵江商务大厦）参与投标的人员原则上不得超过两人 ，若投标人违反上述规定的，视情按否决投标处理</w:t>
      </w:r>
      <w:r>
        <w:rPr>
          <w:rFonts w:hint="eastAsia" w:ascii="仿宋_GB2312" w:hAnsi="仿宋_GB2312" w:eastAsia="仿宋_GB2312" w:cs="仿宋_GB2312"/>
          <w:b/>
          <w:sz w:val="32"/>
          <w:szCs w:val="32"/>
        </w:rPr>
        <w:t>。</w:t>
      </w:r>
    </w:p>
    <w:p>
      <w:pPr>
        <w:pStyle w:val="18"/>
        <w:spacing w:line="560" w:lineRule="exact"/>
        <w:rPr>
          <w:rFonts w:ascii="仿宋_GB2312" w:hAnsi="仿宋_GB2312" w:eastAsia="仿宋_GB2312" w:cs="仿宋_GB2312"/>
          <w:sz w:val="32"/>
          <w:szCs w:val="32"/>
        </w:rPr>
      </w:pPr>
    </w:p>
    <w:p>
      <w:pPr>
        <w:pStyle w:val="18"/>
        <w:rPr>
          <w:rFonts w:ascii="仿宋_GB2312" w:hAnsi="仿宋_GB2312" w:eastAsia="仿宋_GB2312" w:cs="仿宋_GB2312"/>
          <w:sz w:val="32"/>
          <w:szCs w:val="32"/>
        </w:rPr>
      </w:pPr>
    </w:p>
    <w:p>
      <w:pPr>
        <w:snapToGrid w:val="0"/>
        <w:jc w:val="center"/>
        <w:rPr>
          <w:rStyle w:val="22"/>
          <w:rFonts w:ascii="黑体" w:hAnsi="黑体" w:eastAsia="黑体" w:cs="黑体"/>
          <w:sz w:val="32"/>
          <w:szCs w:val="32"/>
        </w:rPr>
      </w:pPr>
      <w:r>
        <w:rPr>
          <w:rStyle w:val="22"/>
          <w:rFonts w:hint="eastAsia" w:ascii="黑体" w:hAnsi="黑体" w:eastAsia="黑体" w:cs="黑体"/>
          <w:sz w:val="32"/>
          <w:szCs w:val="32"/>
        </w:rPr>
        <w:t>第二部分  采购项目需求</w:t>
      </w:r>
    </w:p>
    <w:p>
      <w:pPr>
        <w:widowControl w:val="0"/>
        <w:spacing w:after="120" w:line="560" w:lineRule="exac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一、项目概况</w:t>
      </w:r>
    </w:p>
    <w:p>
      <w:pPr>
        <w:widowControl w:val="0"/>
        <w:spacing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1、采购单位:</w:t>
      </w:r>
      <w:bookmarkStart w:id="0" w:name="_Hlk94112521"/>
      <w:r>
        <w:rPr>
          <w:rFonts w:hint="eastAsia" w:ascii="仿宋_GB2312" w:hAnsi="仿宋_GB2312" w:eastAsia="仿宋_GB2312" w:cs="仿宋_GB2312"/>
          <w:color w:val="333333"/>
          <w:sz w:val="32"/>
          <w:szCs w:val="32"/>
        </w:rPr>
        <w:t>南通市创聚商贸有限公司</w:t>
      </w:r>
      <w:bookmarkEnd w:id="0"/>
    </w:p>
    <w:p>
      <w:pPr>
        <w:widowControl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2、采购项目：为招标人提供生鲜商品、粮油调味、休闲食品、家庭生活用品等（含自动售卖机业务）及附带服务，全年采购金额约180万元。</w:t>
      </w:r>
    </w:p>
    <w:p>
      <w:pPr>
        <w:widowControl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3、合作期限：合同签订之日至2023年5月31日止，合作期内招标人将不定期对中标人开展考核工作，考核不合格，招标人可以直接解除合同。</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4、项目地址：南通市海门区北京中路600号海门机关超市。</w:t>
      </w:r>
    </w:p>
    <w:p>
      <w:pPr>
        <w:widowControl w:val="0"/>
        <w:spacing w:after="120" w:line="560" w:lineRule="exac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二、项目需求</w:t>
      </w:r>
    </w:p>
    <w:p>
      <w:pPr>
        <w:widowControl w:val="0"/>
        <w:spacing w:after="120" w:line="560" w:lineRule="exac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（一）商品要求：</w:t>
      </w:r>
    </w:p>
    <w:p>
      <w:pPr>
        <w:widowControl w:val="0"/>
        <w:spacing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1.商品品类：休闲食品、粮油调味品、日配品、家庭生活用品4大类。</w:t>
      </w:r>
    </w:p>
    <w:p>
      <w:pPr>
        <w:widowControl w:val="0"/>
        <w:spacing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（1）休闲食品：饮用水、果汁饮料、茶饮、奶饮、碳酸饮料、饼干糕点、膨化食品、炒货、糖果蜜饯、进口食品、网红食品等；</w:t>
      </w:r>
    </w:p>
    <w:p>
      <w:pPr>
        <w:widowControl w:val="0"/>
        <w:spacing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（2）粮油调味品：米、面、油、酱油、醋、料酒、味精、鸡精、盐、火锅调料等；</w:t>
      </w:r>
    </w:p>
    <w:p>
      <w:pPr>
        <w:widowControl w:val="0"/>
        <w:spacing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（3）日配品：牛奶、酸奶、奶酪、汤圆、水饺、冰淇淋等；</w:t>
      </w:r>
    </w:p>
    <w:p>
      <w:pPr>
        <w:widowControl w:val="0"/>
        <w:spacing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（4）家庭生活用品：厨房用品、洗护品、进口洗护品、家用纺织品、进口家用品等。</w:t>
      </w:r>
    </w:p>
    <w:p>
      <w:pPr>
        <w:widowControl w:val="0"/>
        <w:spacing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（5）其他品类：招标人要求增加或中标人提报并经招标人同意的其他类商品。</w:t>
      </w:r>
    </w:p>
    <w:p>
      <w:pPr>
        <w:pStyle w:val="18"/>
        <w:spacing w:line="560" w:lineRule="exac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2.商品品牌：各类商品品牌包含但不限于下表</w:t>
      </w:r>
    </w:p>
    <w:tbl>
      <w:tblPr>
        <w:tblStyle w:val="11"/>
        <w:tblW w:w="9060" w:type="dxa"/>
        <w:tblInd w:w="0" w:type="dxa"/>
        <w:tblLayout w:type="fixed"/>
        <w:tblCellMar>
          <w:top w:w="0" w:type="dxa"/>
          <w:left w:w="108" w:type="dxa"/>
          <w:bottom w:w="0" w:type="dxa"/>
          <w:right w:w="108" w:type="dxa"/>
        </w:tblCellMar>
      </w:tblPr>
      <w:tblGrid>
        <w:gridCol w:w="1099"/>
        <w:gridCol w:w="1081"/>
        <w:gridCol w:w="824"/>
        <w:gridCol w:w="824"/>
        <w:gridCol w:w="824"/>
        <w:gridCol w:w="824"/>
        <w:gridCol w:w="824"/>
        <w:gridCol w:w="964"/>
        <w:gridCol w:w="964"/>
        <w:gridCol w:w="832"/>
      </w:tblGrid>
      <w:tr>
        <w:tblPrEx>
          <w:tblLayout w:type="fixed"/>
          <w:tblCellMar>
            <w:top w:w="0" w:type="dxa"/>
            <w:left w:w="108" w:type="dxa"/>
            <w:bottom w:w="0" w:type="dxa"/>
            <w:right w:w="108" w:type="dxa"/>
          </w:tblCellMar>
        </w:tblPrEx>
        <w:trPr>
          <w:trHeight w:val="372" w:hRule="atLeast"/>
          <w:tblHeader/>
        </w:trPr>
        <w:tc>
          <w:tcPr>
            <w:tcW w:w="9060" w:type="dxa"/>
            <w:gridSpan w:val="10"/>
            <w:tcBorders>
              <w:top w:val="nil"/>
              <w:left w:val="nil"/>
              <w:bottom w:val="nil"/>
              <w:right w:val="nil"/>
            </w:tcBorders>
            <w:shd w:val="clear" w:color="auto" w:fill="auto"/>
            <w:noWrap/>
            <w:vAlign w:val="center"/>
          </w:tcPr>
          <w:p>
            <w:pPr>
              <w:spacing w:line="400" w:lineRule="exact"/>
              <w:jc w:val="center"/>
              <w:rPr>
                <w:rFonts w:ascii="方正小标宋简体" w:hAnsi="宋体" w:eastAsia="方正小标宋简体" w:cs="宋体"/>
                <w:bCs/>
                <w:color w:val="000000"/>
                <w:kern w:val="0"/>
                <w:sz w:val="32"/>
                <w:szCs w:val="32"/>
              </w:rPr>
            </w:pPr>
          </w:p>
          <w:p>
            <w:pPr>
              <w:spacing w:line="400" w:lineRule="exact"/>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销售产品品牌明细表</w:t>
            </w:r>
          </w:p>
        </w:tc>
      </w:tr>
      <w:tr>
        <w:tblPrEx>
          <w:tblLayout w:type="fixed"/>
          <w:tblCellMar>
            <w:top w:w="0" w:type="dxa"/>
            <w:left w:w="108" w:type="dxa"/>
            <w:bottom w:w="0" w:type="dxa"/>
            <w:right w:w="108" w:type="dxa"/>
          </w:tblCellMar>
        </w:tblPrEx>
        <w:trPr>
          <w:trHeight w:val="595" w:hRule="atLeast"/>
          <w:tblHeader/>
        </w:trPr>
        <w:tc>
          <w:tcPr>
            <w:tcW w:w="10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产品</w:t>
            </w:r>
            <w:r>
              <w:rPr>
                <w:rFonts w:hint="eastAsia" w:ascii="仿宋_GB2312" w:hAnsi="宋体" w:eastAsia="仿宋_GB2312" w:cs="宋体"/>
                <w:b/>
                <w:bCs/>
                <w:color w:val="000000"/>
                <w:kern w:val="0"/>
                <w:szCs w:val="21"/>
              </w:rPr>
              <w:br w:type="textWrapping"/>
            </w:r>
            <w:r>
              <w:rPr>
                <w:rFonts w:hint="eastAsia" w:ascii="仿宋_GB2312" w:hAnsi="宋体" w:eastAsia="仿宋_GB2312" w:cs="宋体"/>
                <w:b/>
                <w:bCs/>
                <w:color w:val="000000"/>
                <w:kern w:val="0"/>
                <w:szCs w:val="21"/>
              </w:rPr>
              <w:t>大类</w:t>
            </w:r>
          </w:p>
        </w:tc>
        <w:tc>
          <w:tcPr>
            <w:tcW w:w="108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产品</w:t>
            </w:r>
          </w:p>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细项</w:t>
            </w:r>
          </w:p>
        </w:tc>
        <w:tc>
          <w:tcPr>
            <w:tcW w:w="6880" w:type="dxa"/>
            <w:gridSpan w:val="8"/>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产品品牌</w:t>
            </w:r>
          </w:p>
        </w:tc>
      </w:tr>
      <w:tr>
        <w:tblPrEx>
          <w:tblLayout w:type="fixed"/>
          <w:tblCellMar>
            <w:top w:w="0" w:type="dxa"/>
            <w:left w:w="108" w:type="dxa"/>
            <w:bottom w:w="0" w:type="dxa"/>
            <w:right w:w="108" w:type="dxa"/>
          </w:tblCellMar>
        </w:tblPrEx>
        <w:trPr>
          <w:trHeight w:val="228" w:hRule="atLeast"/>
        </w:trPr>
        <w:tc>
          <w:tcPr>
            <w:tcW w:w="10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闲</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食</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品</w:t>
            </w: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ind w:firstLine="0"/>
              <w:jc w:val="center"/>
            </w:pPr>
            <w:r>
              <w:rPr>
                <w:rFonts w:hint="eastAsia" w:ascii="仿宋_GB2312" w:hAnsi="宋体" w:eastAsia="仿宋_GB2312" w:cs="宋体"/>
                <w:color w:val="000000"/>
                <w:kern w:val="0"/>
                <w:szCs w:val="21"/>
              </w:rPr>
              <w:t>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闲</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食</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品</w:t>
            </w:r>
          </w:p>
          <w:p>
            <w:pPr>
              <w:pStyle w:val="2"/>
              <w:spacing w:line="240" w:lineRule="exact"/>
              <w:ind w:firstLine="0"/>
              <w:jc w:val="center"/>
              <w:rPr>
                <w:rFonts w:ascii="仿宋_GB2312" w:hAnsi="宋体" w:eastAsia="仿宋_GB2312" w:cs="宋体"/>
                <w:color w:val="000000"/>
                <w:kern w:val="0"/>
                <w:szCs w:val="21"/>
              </w:rPr>
            </w:pPr>
          </w:p>
          <w:p>
            <w:pPr>
              <w:pStyle w:val="2"/>
              <w:spacing w:line="240" w:lineRule="exact"/>
              <w:ind w:firstLine="0"/>
              <w:jc w:val="center"/>
              <w:rPr>
                <w:rFonts w:ascii="仿宋_GB2312" w:hAnsi="宋体" w:eastAsia="仿宋_GB2312" w:cs="宋体"/>
                <w:color w:val="000000"/>
                <w:kern w:val="0"/>
                <w:szCs w:val="21"/>
              </w:rPr>
            </w:pPr>
          </w:p>
          <w:p>
            <w:pPr>
              <w:pStyle w:val="2"/>
              <w:spacing w:line="240" w:lineRule="exact"/>
              <w:ind w:firstLine="0"/>
              <w:jc w:val="center"/>
              <w:rPr>
                <w:rFonts w:ascii="仿宋_GB2312" w:hAnsi="宋体" w:eastAsia="仿宋_GB2312" w:cs="宋体"/>
                <w:color w:val="000000"/>
                <w:kern w:val="0"/>
                <w:szCs w:val="21"/>
              </w:rPr>
            </w:pPr>
          </w:p>
          <w:p>
            <w:pPr>
              <w:pStyle w:val="2"/>
              <w:spacing w:line="240" w:lineRule="exact"/>
              <w:ind w:firstLine="0"/>
              <w:jc w:val="center"/>
            </w:pPr>
          </w:p>
          <w:p>
            <w:pPr>
              <w:pStyle w:val="2"/>
              <w:spacing w:line="240" w:lineRule="exact"/>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饮用水</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农夫山泉</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恒大冰泉</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昆仑山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景田</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屈臣士</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巴黎水</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雪菲力</w:t>
            </w:r>
          </w:p>
        </w:tc>
      </w:tr>
      <w:tr>
        <w:tblPrEx>
          <w:tblLayout w:type="fixed"/>
          <w:tblCellMar>
            <w:top w:w="0" w:type="dxa"/>
            <w:left w:w="108" w:type="dxa"/>
            <w:bottom w:w="0" w:type="dxa"/>
            <w:right w:w="108" w:type="dxa"/>
          </w:tblCellMar>
        </w:tblPrEx>
        <w:trPr>
          <w:trHeight w:val="398"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怡宝水</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崂山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珠峰</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统一</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湾蓝矿泉水</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泰山</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r>
      <w:tr>
        <w:tblPrEx>
          <w:tblLayout w:type="fixed"/>
          <w:tblCellMar>
            <w:top w:w="0" w:type="dxa"/>
            <w:left w:w="108" w:type="dxa"/>
            <w:bottom w:w="0" w:type="dxa"/>
            <w:right w:w="108" w:type="dxa"/>
          </w:tblCellMar>
        </w:tblPrEx>
        <w:trPr>
          <w:trHeight w:val="89"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百岁山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依云</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冰露</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健力宝</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芙丝矿泉水</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悦活</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北极熊</w:t>
            </w:r>
          </w:p>
        </w:tc>
      </w:tr>
      <w:tr>
        <w:tblPrEx>
          <w:tblLayout w:type="fixed"/>
          <w:tblCellMar>
            <w:top w:w="0" w:type="dxa"/>
            <w:left w:w="108" w:type="dxa"/>
            <w:bottom w:w="0" w:type="dxa"/>
            <w:right w:w="108" w:type="dxa"/>
          </w:tblCellMar>
        </w:tblPrEx>
        <w:trPr>
          <w:trHeight w:val="423"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381"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果汁饮料</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农夫果园</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都乐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纯果乐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果倍爽</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麒麟</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佳果源</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玛丽</w:t>
            </w:r>
          </w:p>
        </w:tc>
      </w:tr>
      <w:tr>
        <w:tblPrEx>
          <w:tblLayout w:type="fixed"/>
          <w:tblCellMar>
            <w:top w:w="0" w:type="dxa"/>
            <w:left w:w="108" w:type="dxa"/>
            <w:bottom w:w="0" w:type="dxa"/>
            <w:right w:w="108" w:type="dxa"/>
          </w:tblCellMar>
        </w:tblPrEx>
        <w:trPr>
          <w:trHeight w:val="394"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汇源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椰树</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惠尔康</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海太</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r>
      <w:tr>
        <w:tblPrEx>
          <w:tblLayout w:type="fixed"/>
          <w:tblCellMar>
            <w:top w:w="0" w:type="dxa"/>
            <w:left w:w="108" w:type="dxa"/>
            <w:bottom w:w="0" w:type="dxa"/>
            <w:right w:w="108" w:type="dxa"/>
          </w:tblCellMar>
        </w:tblPrEx>
        <w:trPr>
          <w:trHeight w:val="389"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美汁源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味全</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统一</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欢乐家</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中沃</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泰山</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可果美</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宾得宝</w:t>
            </w:r>
          </w:p>
        </w:tc>
      </w:tr>
      <w:tr>
        <w:tblPrEx>
          <w:tblLayout w:type="fixed"/>
          <w:tblCellMar>
            <w:top w:w="0" w:type="dxa"/>
            <w:left w:w="108" w:type="dxa"/>
            <w:bottom w:w="0" w:type="dxa"/>
            <w:right w:w="108" w:type="dxa"/>
          </w:tblCellMar>
        </w:tblPrEx>
        <w:trPr>
          <w:trHeight w:val="39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华洋</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北冰洋</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美汁源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喜茶</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啵乐乐</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界界乐</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养胃</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乐可分</w:t>
            </w:r>
          </w:p>
        </w:tc>
      </w:tr>
      <w:tr>
        <w:tblPrEx>
          <w:tblLayout w:type="fixed"/>
          <w:tblCellMar>
            <w:top w:w="0" w:type="dxa"/>
            <w:left w:w="108" w:type="dxa"/>
            <w:bottom w:w="0" w:type="dxa"/>
            <w:right w:w="108" w:type="dxa"/>
          </w:tblCellMar>
        </w:tblPrEx>
        <w:trPr>
          <w:trHeight w:val="345" w:hRule="atLeast"/>
        </w:trPr>
        <w:tc>
          <w:tcPr>
            <w:tcW w:w="109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乐乐茶</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38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茶饮</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汇源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天喔</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三得利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麒麟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加多宝</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伊藤园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元气森林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康宝莱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王老吉</w:t>
            </w:r>
          </w:p>
        </w:tc>
      </w:tr>
      <w:tr>
        <w:tblPrEx>
          <w:tblLayout w:type="fixed"/>
          <w:tblCellMar>
            <w:top w:w="0" w:type="dxa"/>
            <w:left w:w="108" w:type="dxa"/>
            <w:bottom w:w="0" w:type="dxa"/>
            <w:right w:w="108" w:type="dxa"/>
          </w:tblCellMar>
        </w:tblPrEx>
        <w:trPr>
          <w:trHeight w:val="434"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茶π</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东方树叶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维他奶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蜜谷</w:t>
            </w:r>
          </w:p>
        </w:tc>
        <w:tc>
          <w:tcPr>
            <w:tcW w:w="824" w:type="dxa"/>
            <w:tcBorders>
              <w:top w:val="nil"/>
              <w:left w:val="nil"/>
              <w:bottom w:val="nil"/>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964" w:type="dxa"/>
            <w:tcBorders>
              <w:top w:val="nil"/>
              <w:left w:val="single" w:color="auto" w:sz="4" w:space="0"/>
              <w:bottom w:val="nil"/>
              <w:right w:val="nil"/>
            </w:tcBorders>
            <w:shd w:val="clear" w:color="auto" w:fill="auto"/>
            <w:noWrap/>
            <w:vAlign w:val="center"/>
          </w:tcPr>
          <w:p>
            <w:pPr>
              <w:spacing w:line="240" w:lineRule="exact"/>
              <w:jc w:val="left"/>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431"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牛奶奶饮</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蒙牛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味全</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光明</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简爱</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兰特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德亚</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兰特</w:t>
            </w:r>
          </w:p>
        </w:tc>
      </w:tr>
      <w:tr>
        <w:tblPrEx>
          <w:tblLayout w:type="fixed"/>
          <w:tblCellMar>
            <w:top w:w="0" w:type="dxa"/>
            <w:left w:w="108" w:type="dxa"/>
            <w:bottom w:w="0" w:type="dxa"/>
            <w:right w:w="108" w:type="dxa"/>
          </w:tblCellMar>
        </w:tblPrEx>
        <w:trPr>
          <w:trHeight w:val="40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圣牧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百菲</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卫岗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君乐宝</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欧亚</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啵乐乐</w:t>
            </w:r>
          </w:p>
        </w:tc>
      </w:tr>
      <w:tr>
        <w:tblPrEx>
          <w:tblLayout w:type="fixed"/>
          <w:tblCellMar>
            <w:top w:w="0" w:type="dxa"/>
            <w:left w:w="108" w:type="dxa"/>
            <w:bottom w:w="0" w:type="dxa"/>
            <w:right w:w="108" w:type="dxa"/>
          </w:tblCellMar>
        </w:tblPrEx>
        <w:trPr>
          <w:trHeight w:val="32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旺仔</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椰树</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夏进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味动力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明治</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认领一头牛</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乐纯</w:t>
            </w:r>
          </w:p>
        </w:tc>
      </w:tr>
      <w:tr>
        <w:tblPrEx>
          <w:tblLayout w:type="fixed"/>
          <w:tblCellMar>
            <w:top w:w="0" w:type="dxa"/>
            <w:left w:w="108" w:type="dxa"/>
            <w:bottom w:w="0" w:type="dxa"/>
            <w:right w:w="108" w:type="dxa"/>
          </w:tblCellMar>
        </w:tblPrEx>
        <w:trPr>
          <w:trHeight w:val="483"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维他奶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名屋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春光</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和润</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阿华田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养乐多</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李子园</w:t>
            </w:r>
          </w:p>
        </w:tc>
      </w:tr>
      <w:tr>
        <w:tblPrEx>
          <w:tblLayout w:type="fixed"/>
          <w:tblCellMar>
            <w:top w:w="0" w:type="dxa"/>
            <w:left w:w="108" w:type="dxa"/>
            <w:bottom w:w="0" w:type="dxa"/>
            <w:right w:w="108" w:type="dxa"/>
          </w:tblCellMar>
        </w:tblPrEx>
        <w:trPr>
          <w:trHeight w:val="381"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大窑</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冰峰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屈臣士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健力宝</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德运</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新希望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哈根达斯</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每日鲜果</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北海牧场</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朴诚乳业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50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碳酸功能饮料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脉动</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尖叫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战马</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红牛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蓝岸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力量帝</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百事</w:t>
            </w:r>
          </w:p>
        </w:tc>
      </w:tr>
      <w:tr>
        <w:tblPrEx>
          <w:tblLayout w:type="fixed"/>
          <w:tblCellMar>
            <w:top w:w="0" w:type="dxa"/>
            <w:left w:w="108" w:type="dxa"/>
            <w:bottom w:w="0" w:type="dxa"/>
            <w:right w:w="108" w:type="dxa"/>
          </w:tblCellMar>
        </w:tblPrEx>
        <w:trPr>
          <w:trHeight w:val="73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日加满</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启力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健力宝</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黑卡</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楚天舒</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可口可乐</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p>
          <w:p>
            <w:pPr>
              <w:pStyle w:val="2"/>
              <w:spacing w:line="240" w:lineRule="exact"/>
            </w:pPr>
          </w:p>
          <w:p>
            <w:pPr>
              <w:pStyle w:val="2"/>
              <w:spacing w:line="240" w:lineRule="exact"/>
            </w:pPr>
          </w:p>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饼干糕点</w:t>
            </w:r>
          </w:p>
          <w:p>
            <w:pPr>
              <w:pStyle w:val="2"/>
              <w:rPr>
                <w:rFonts w:ascii="仿宋_GB2312" w:hAnsi="宋体" w:eastAsia="仿宋_GB2312" w:cs="宋体"/>
                <w:color w:val="000000"/>
                <w:kern w:val="0"/>
                <w:szCs w:val="21"/>
              </w:rPr>
            </w:pPr>
          </w:p>
          <w:p>
            <w:pPr>
              <w:pStyle w:val="2"/>
              <w:rPr>
                <w:rFonts w:ascii="仿宋_GB2312" w:hAnsi="宋体" w:eastAsia="仿宋_GB2312" w:cs="宋体"/>
                <w:color w:val="000000"/>
                <w:kern w:val="0"/>
                <w:szCs w:val="21"/>
              </w:rPr>
            </w:pPr>
          </w:p>
          <w:p>
            <w:pPr>
              <w:pStyle w:val="2"/>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p>
            <w:pPr>
              <w:spacing w:line="240" w:lineRule="exact"/>
              <w:jc w:val="center"/>
            </w:pPr>
            <w:r>
              <w:rPr>
                <w:rFonts w:hint="eastAsia" w:ascii="仿宋_GB2312" w:hAnsi="宋体" w:eastAsia="仿宋_GB2312" w:cs="宋体"/>
                <w:color w:val="000000"/>
                <w:kern w:val="0"/>
                <w:szCs w:val="21"/>
              </w:rPr>
              <w:t>饼干糕点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卡夫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江中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嘉顿</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乐之</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丹麦皇冠</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麦维他</w:t>
            </w:r>
          </w:p>
        </w:tc>
      </w:tr>
      <w:tr>
        <w:tblPrEx>
          <w:tblLayout w:type="fixed"/>
          <w:tblCellMar>
            <w:top w:w="0" w:type="dxa"/>
            <w:left w:w="108" w:type="dxa"/>
            <w:bottom w:w="0" w:type="dxa"/>
            <w:right w:w="108" w:type="dxa"/>
          </w:tblCellMar>
        </w:tblPrEx>
        <w:trPr>
          <w:trHeight w:val="4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奥利奥</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盼盼</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嘉士利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太平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思朗</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奥利给</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咔咔脆</w:t>
            </w:r>
          </w:p>
        </w:tc>
      </w:tr>
      <w:tr>
        <w:tblPrEx>
          <w:tblLayout w:type="fixed"/>
          <w:tblCellMar>
            <w:top w:w="0" w:type="dxa"/>
            <w:left w:w="108" w:type="dxa"/>
            <w:bottom w:w="0" w:type="dxa"/>
            <w:right w:w="108" w:type="dxa"/>
          </w:tblCellMar>
        </w:tblPrEx>
        <w:trPr>
          <w:trHeight w:val="263"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良品铺子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趣多多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嘉友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优冠</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弘一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徐福记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法丽兹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三立</w:t>
            </w:r>
          </w:p>
        </w:tc>
      </w:tr>
      <w:tr>
        <w:tblPrEx>
          <w:tblLayout w:type="fixed"/>
          <w:tblCellMar>
            <w:top w:w="0" w:type="dxa"/>
            <w:left w:w="108" w:type="dxa"/>
            <w:bottom w:w="0" w:type="dxa"/>
            <w:right w:w="108" w:type="dxa"/>
          </w:tblCellMar>
        </w:tblPrEx>
        <w:trPr>
          <w:trHeight w:val="432"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百草味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港荣</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味滋源</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丹夫</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朱蒂丝</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莱家</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格力高</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来伊份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米多奇</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爱尚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杏花楼</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西亭脆饼</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麦蒂酥</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稻香村</w:t>
            </w:r>
          </w:p>
        </w:tc>
      </w:tr>
      <w:tr>
        <w:tblPrEx>
          <w:tblLayout w:type="fixed"/>
          <w:tblCellMar>
            <w:top w:w="0" w:type="dxa"/>
            <w:left w:w="108" w:type="dxa"/>
            <w:bottom w:w="0" w:type="dxa"/>
            <w:right w:w="108" w:type="dxa"/>
          </w:tblCellMar>
        </w:tblPrEx>
        <w:trPr>
          <w:trHeight w:val="4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米老头</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台尚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好丽友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泡吧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张君雅</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丽芝士</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达能</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r>
      <w:tr>
        <w:tblPrEx>
          <w:tblLayout w:type="fixed"/>
          <w:tblCellMar>
            <w:top w:w="0" w:type="dxa"/>
            <w:left w:w="108" w:type="dxa"/>
            <w:bottom w:w="0" w:type="dxa"/>
            <w:right w:w="108" w:type="dxa"/>
          </w:tblCellMar>
        </w:tblPrEx>
        <w:trPr>
          <w:trHeight w:val="43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膨化炒货类</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可比克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上好佳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品客</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好友趣</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奇多</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小王子</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猫诚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卡迪那</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子弟</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洽洽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阿里山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百事</w:t>
            </w:r>
          </w:p>
        </w:tc>
      </w:tr>
      <w:tr>
        <w:tblPrEx>
          <w:tblLayout w:type="fixed"/>
          <w:tblCellMar>
            <w:top w:w="0" w:type="dxa"/>
            <w:left w:w="108" w:type="dxa"/>
            <w:bottom w:w="0" w:type="dxa"/>
            <w:right w:w="108" w:type="dxa"/>
          </w:tblCellMar>
        </w:tblPrEx>
        <w:trPr>
          <w:trHeight w:val="313"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糖果蜜饯</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健达</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玛氏箭牌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酷姿</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不二家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民治</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瑞士莲</w:t>
            </w:r>
          </w:p>
        </w:tc>
      </w:tr>
      <w:tr>
        <w:tblPrEx>
          <w:tblLayout w:type="fixed"/>
          <w:tblCellMar>
            <w:top w:w="0" w:type="dxa"/>
            <w:left w:w="108" w:type="dxa"/>
            <w:bottom w:w="0" w:type="dxa"/>
            <w:right w:w="108" w:type="dxa"/>
          </w:tblCellMar>
        </w:tblPrEx>
        <w:trPr>
          <w:trHeight w:val="16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哈达牌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每日黑巧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必品阁</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力大狮</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啵乐乐</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绿乐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特惠</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雪海梅乡</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溜溜梅</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特惠</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佳宝</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沃隆</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百草味</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旺旺</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惠得丽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理本</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味觉</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野村</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森达</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费力罗</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阿尔卑斯</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r>
      <w:tr>
        <w:tblPrEx>
          <w:tblLayout w:type="fixed"/>
          <w:tblCellMar>
            <w:top w:w="0" w:type="dxa"/>
            <w:left w:w="108" w:type="dxa"/>
            <w:bottom w:w="0" w:type="dxa"/>
            <w:right w:w="108" w:type="dxa"/>
          </w:tblCellMar>
        </w:tblPrEx>
        <w:trPr>
          <w:trHeight w:val="29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冠生园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大白兔</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良品铺子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312" w:hRule="atLeast"/>
        </w:trPr>
        <w:tc>
          <w:tcPr>
            <w:tcW w:w="109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网红产品</w:t>
            </w:r>
          </w:p>
        </w:tc>
        <w:tc>
          <w:tcPr>
            <w:tcW w:w="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每日黑巧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李子柒</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莫小仙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汤姆农场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浅茶家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卡乐比</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Lotus</w:t>
            </w:r>
          </w:p>
        </w:tc>
      </w:tr>
      <w:tr>
        <w:tblPrEx>
          <w:tblLayout w:type="fixed"/>
          <w:tblCellMar>
            <w:top w:w="0" w:type="dxa"/>
            <w:left w:w="108" w:type="dxa"/>
            <w:bottom w:w="0" w:type="dxa"/>
            <w:right w:w="108" w:type="dxa"/>
          </w:tblCellMar>
        </w:tblPrEx>
        <w:trPr>
          <w:trHeight w:val="476" w:hRule="atLeast"/>
        </w:trPr>
        <w:tc>
          <w:tcPr>
            <w:tcW w:w="10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粮油调味</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米、面、油、酱油、醋、料酒、味精、鸡精、盐、火锅调料</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金龙鱼</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福临门</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五常</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北大荒</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金南丰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苏通</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金沙河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顶味</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里下河</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渔湾</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陈克明</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中裕</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白象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天然麦</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鸵鸟</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元宝</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鲁花</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葵王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多力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天府</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胡姬花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香满园</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道道全</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长康</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日清</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九三</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克莉娜</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食圣</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欧特薇</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长寿花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丰满香</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六婆</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刘一手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小肥羊</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麻辣空间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红99</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水明楼</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海天</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李锦记</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老恒和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厨邦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味事达</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淘大</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老才臣</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多福</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欣和</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伊例家</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巧媳妇</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古龙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鼎丰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百味佳</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恒顺</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天地壹号</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紫林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东湖</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千禾</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水塔</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味好美</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安琪</w:t>
            </w:r>
          </w:p>
        </w:tc>
      </w:tr>
      <w:tr>
        <w:tblPrEx>
          <w:tblLayout w:type="fixed"/>
          <w:tblCellMar>
            <w:top w:w="0" w:type="dxa"/>
            <w:left w:w="108" w:type="dxa"/>
            <w:bottom w:w="0" w:type="dxa"/>
            <w:right w:w="108" w:type="dxa"/>
          </w:tblCellMar>
        </w:tblPrEx>
        <w:trPr>
          <w:trHeight w:val="399"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太太乐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家乐</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味美思</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南德</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王守义</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厨鼎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天字</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大桥</w:t>
            </w:r>
          </w:p>
        </w:tc>
      </w:tr>
      <w:tr>
        <w:tblPrEx>
          <w:tblLayout w:type="fixed"/>
          <w:tblCellMar>
            <w:top w:w="0" w:type="dxa"/>
            <w:left w:w="108" w:type="dxa"/>
            <w:bottom w:w="0" w:type="dxa"/>
            <w:right w:w="108" w:type="dxa"/>
          </w:tblCellMar>
        </w:tblPrEx>
        <w:trPr>
          <w:trHeight w:val="438"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淮牌</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川崎</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德庄</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海底捞</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桥头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大红袍</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416" w:hRule="atLeast"/>
        </w:trPr>
        <w:tc>
          <w:tcPr>
            <w:tcW w:w="109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日配品</w:t>
            </w:r>
          </w:p>
        </w:tc>
        <w:tc>
          <w:tcPr>
            <w:tcW w:w="108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奶酪</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光明</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蒙牛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运达</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明治</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百吉福</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39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汤圆水饺</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思念</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安井</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三全</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龙凤</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湾仔码头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大娘</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必品阁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园外园</w:t>
            </w:r>
          </w:p>
        </w:tc>
      </w:tr>
      <w:tr>
        <w:tblPrEx>
          <w:tblLayout w:type="fixed"/>
          <w:tblCellMar>
            <w:top w:w="0" w:type="dxa"/>
            <w:left w:w="108" w:type="dxa"/>
            <w:bottom w:w="0" w:type="dxa"/>
            <w:right w:w="108" w:type="dxa"/>
          </w:tblCellMar>
        </w:tblPrEx>
        <w:trPr>
          <w:trHeight w:val="51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海霸王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缸鸭狗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冷饮冰淇淋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梦龙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八喜</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蒙牛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光明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哈根达斯</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595"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家庭生活用品</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厨房用品、洗护品、家用纺织品</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白猫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爱特福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雕牌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奥妙</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大公鸡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优洁士</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舒肤佳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威猛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洁邦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威王</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狮王</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花王</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圣洁康</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蓝月亮</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老管家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威露王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金龙鱼</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妙管家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清清美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妙洁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r>
    </w:tbl>
    <w:p>
      <w:pPr>
        <w:pStyle w:val="18"/>
      </w:pP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3.商品价格：商品价格由中标人确定，招标人负责监管与督查，确保零售价格不高于同期海门地区大润发、利群、文峰等超市（促销商品除外）。每发现一例高于当地超市同类商品价格的，经查实罚款5000元。</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品质要求：严格遵守《中华人民共和国食品安全法》等法律、法规、政策，杜绝三无商品，所有商品应是正规厂家生产的产品，不得出售不洁、过期、变质的食品，商品保质期在2/3质保期内，严格保证产品质量符合国家相关产品质量标准，符合国家各级强制性规范的要求。每发现一例，经查实罚款10000元，供应商须承担因此产生的全部法律责任及经济赔偿责任。</w:t>
      </w:r>
    </w:p>
    <w:p>
      <w:pPr>
        <w:widowControl w:val="0"/>
        <w:spacing w:after="120" w:line="560" w:lineRule="exac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（二）服务要求：</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硬件配备：中标人须根据招标人相关超市的建筑格局进行合理设计，中标人须自行配备全新货架、冷冻柜、冷藏柜、灯光、监控设备等，具体数量及要求以现场和招标人实际需求为准，完成时间根据招标人要求。如涉及相关改造及恢复的，相关费用由中标人自行承担。合作期满后，硬件设施设备由中标人自行处理。</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2.软件设备：中标人需使用招标人指定的乐檬系统，完成系统商品档案建立及系统库存管理工作，并执行日常商品实物盘点。中标人的收银工作必须在招标人指定的乐檬系统内完成，不得私自销售私自收银。</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3.商品服务：中标人须根据货架设定，自主完成商品上架铺货、价签更新、铺面盘点、商品补换货等工作，确保货架无空段，价签无误，陈列商品可售，同时中标人须提供产品预售服务。</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4.到货要求：中标人必须遵守招标人及招标人业主单位规章制度和上级要求，文明服务，商品供货配送须在指定时间段内完成，紧急情况须经过招标人批准。</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5.中标人需无条件接受招标人委派人员，委派人员工资由招标人承担。</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中标人须充分发挥自身经营优势，开展超市营销活动，确保机关超市项目年度销售总额不低于225万，因年度末核算销售总额未达目标导致招标人收入分成减少的，减少部分收入分成金额从履约保证金中扣除，履约保证金不足以抵扣的，由中标人在年度供应及服务费中予以扣除。</w:t>
      </w:r>
    </w:p>
    <w:p>
      <w:pPr>
        <w:pStyle w:val="2"/>
        <w:spacing w:line="560" w:lineRule="exact"/>
      </w:pPr>
    </w:p>
    <w:p>
      <w:pPr>
        <w:spacing w:line="560" w:lineRule="exact"/>
      </w:pPr>
    </w:p>
    <w:p>
      <w:pPr>
        <w:spacing w:line="560" w:lineRule="exact"/>
        <w:sectPr>
          <w:footerReference r:id="rId3" w:type="default"/>
          <w:pgSz w:w="11906" w:h="16838"/>
          <w:pgMar w:top="1814" w:right="1531" w:bottom="1985" w:left="1531" w:header="510" w:footer="1474" w:gutter="0"/>
          <w:cols w:space="720" w:num="1"/>
          <w:titlePg/>
          <w:docGrid w:linePitch="312" w:charSpace="0"/>
        </w:sectPr>
      </w:pPr>
    </w:p>
    <w:p>
      <w:pPr>
        <w:pStyle w:val="18"/>
        <w:snapToGrid w:val="0"/>
        <w:jc w:val="center"/>
        <w:rPr>
          <w:rStyle w:val="22"/>
          <w:rFonts w:ascii="黑体" w:hAnsi="黑体" w:eastAsia="黑体" w:cs="黑体"/>
          <w:bCs/>
          <w:sz w:val="32"/>
          <w:szCs w:val="32"/>
          <w:lang w:val="zh-CN"/>
        </w:rPr>
      </w:pPr>
      <w:r>
        <w:rPr>
          <w:rStyle w:val="22"/>
          <w:rFonts w:hint="eastAsia" w:ascii="黑体" w:hAnsi="黑体" w:eastAsia="黑体" w:cs="黑体"/>
          <w:bCs/>
          <w:sz w:val="32"/>
          <w:szCs w:val="32"/>
          <w:lang w:val="zh-CN"/>
        </w:rPr>
        <w:t>第二章 采购项目商务要求</w:t>
      </w:r>
    </w:p>
    <w:p>
      <w:pPr>
        <w:widowControl w:val="0"/>
        <w:spacing w:after="120" w:line="560" w:lineRule="exact"/>
        <w:textAlignment w:val="auto"/>
        <w:rPr>
          <w:rFonts w:ascii="仿宋_GB2312" w:hAnsi="仿宋_GB2312" w:eastAsia="仿宋_GB2312" w:cs="仿宋_GB2312"/>
          <w:color w:val="333333"/>
          <w:sz w:val="32"/>
          <w:szCs w:val="32"/>
        </w:rPr>
      </w:pPr>
    </w:p>
    <w:p>
      <w:pPr>
        <w:widowControl w:val="0"/>
        <w:spacing w:after="120" w:line="560" w:lineRule="exac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一、费用的结算与支付</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以营业收入总额（含税）的 </w:t>
      </w:r>
      <w:r>
        <w:rPr>
          <w:rFonts w:hint="eastAsia" w:ascii="仿宋_GB2312" w:hAnsi="仿宋_GB2312" w:eastAsia="仿宋_GB2312" w:cs="仿宋_GB2312"/>
          <w:color w:val="333333"/>
          <w:sz w:val="32"/>
          <w:szCs w:val="32"/>
          <w:u w:val="single"/>
        </w:rPr>
        <w:t>中标百分比</w:t>
      </w:r>
      <w:r>
        <w:rPr>
          <w:rFonts w:hint="eastAsia" w:ascii="仿宋_GB2312" w:hAnsi="仿宋_GB2312" w:eastAsia="仿宋_GB2312" w:cs="仿宋_GB2312"/>
          <w:color w:val="333333"/>
          <w:sz w:val="32"/>
          <w:szCs w:val="32"/>
        </w:rPr>
        <w:t>进行结算（含自动售卖机业务）；合作期内，经营过程中的商品、设施设备、现场改造与恢复、装修装潢、运输费、搬运费、税费等相关一切费用均由中标人承担。合作期内，机关超市的房租、水电费、委派人员（2名）工资由招标人承担。</w:t>
      </w:r>
    </w:p>
    <w:p>
      <w:pPr>
        <w:widowControl w:val="0"/>
        <w:spacing w:after="120" w:line="560" w:lineRule="exact"/>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二、付款方式：</w:t>
      </w:r>
    </w:p>
    <w:p>
      <w:pPr>
        <w:widowControl w:val="0"/>
        <w:spacing w:after="12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1.双方采用月结方式进行结算；</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双方于当月15日前完成上月（1号至该月月末）营业收入总额（含税）核算，根据上月（1号至该月月末）营业收入总额（含税）的百分比结算给中标人，中标人向招标人开具相应金额的增值税专用发票（免税产品可开具增值税普通发票。税率依据相关税收法律、法规，若普惠性税率调整，以不含税金额加调整后税金为结算金额）。</w:t>
      </w:r>
    </w:p>
    <w:p>
      <w:pPr>
        <w:widowControl w:val="0"/>
        <w:spacing w:after="12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3.招标人收到发票后15个工作日内向中标人支付相关费用。因中标人对账不及时，迟延提供增值税专用发票，导致招标人延迟付款的，招标人不承担任何责任。 </w:t>
      </w:r>
    </w:p>
    <w:p>
      <w:pPr>
        <w:widowControl w:val="0"/>
        <w:spacing w:after="120" w:line="560" w:lineRule="exac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三、项目考核细则</w:t>
      </w:r>
    </w:p>
    <w:tbl>
      <w:tblPr>
        <w:tblStyle w:val="11"/>
        <w:tblW w:w="8792" w:type="dxa"/>
        <w:jc w:val="center"/>
        <w:tblInd w:w="0" w:type="dxa"/>
        <w:tblLayout w:type="fixed"/>
        <w:tblCellMar>
          <w:top w:w="0" w:type="dxa"/>
          <w:left w:w="108" w:type="dxa"/>
          <w:bottom w:w="0" w:type="dxa"/>
          <w:right w:w="108" w:type="dxa"/>
        </w:tblCellMar>
      </w:tblPr>
      <w:tblGrid>
        <w:gridCol w:w="873"/>
        <w:gridCol w:w="873"/>
        <w:gridCol w:w="7046"/>
      </w:tblGrid>
      <w:tr>
        <w:tblPrEx>
          <w:tblLayout w:type="fixed"/>
          <w:tblCellMar>
            <w:top w:w="0" w:type="dxa"/>
            <w:left w:w="108" w:type="dxa"/>
            <w:bottom w:w="0" w:type="dxa"/>
            <w:right w:w="108" w:type="dxa"/>
          </w:tblCellMar>
        </w:tblPrEx>
        <w:trPr>
          <w:trHeight w:val="340" w:hRule="atLeast"/>
          <w:tblHeade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b/>
                <w:bCs/>
              </w:rPr>
            </w:pPr>
            <w:r>
              <w:rPr>
                <w:rFonts w:hint="eastAsia"/>
                <w:b/>
                <w:bCs/>
              </w:rPr>
              <w:t>评分因素</w:t>
            </w:r>
          </w:p>
        </w:tc>
        <w:tc>
          <w:tcPr>
            <w:tcW w:w="873" w:type="dxa"/>
            <w:tcBorders>
              <w:top w:val="single" w:color="auto" w:sz="4" w:space="0"/>
              <w:left w:val="nil"/>
              <w:bottom w:val="single" w:color="auto" w:sz="4" w:space="0"/>
              <w:right w:val="single" w:color="auto" w:sz="4" w:space="0"/>
            </w:tcBorders>
            <w:shd w:val="clear" w:color="auto" w:fill="auto"/>
            <w:vAlign w:val="center"/>
          </w:tcPr>
          <w:p>
            <w:pPr>
              <w:pStyle w:val="2"/>
              <w:rPr>
                <w:b/>
                <w:bCs/>
              </w:rPr>
            </w:pPr>
            <w:r>
              <w:rPr>
                <w:rFonts w:hint="eastAsia"/>
                <w:b/>
                <w:bCs/>
              </w:rPr>
              <w:t>标准分值</w:t>
            </w:r>
          </w:p>
        </w:tc>
        <w:tc>
          <w:tcPr>
            <w:tcW w:w="7046" w:type="dxa"/>
            <w:tcBorders>
              <w:top w:val="single" w:color="auto" w:sz="4" w:space="0"/>
              <w:left w:val="nil"/>
              <w:bottom w:val="single" w:color="auto" w:sz="4" w:space="0"/>
              <w:right w:val="single" w:color="auto" w:sz="4" w:space="0"/>
            </w:tcBorders>
            <w:shd w:val="clear" w:color="auto" w:fill="auto"/>
            <w:noWrap/>
            <w:vAlign w:val="center"/>
          </w:tcPr>
          <w:p>
            <w:pPr>
              <w:pStyle w:val="2"/>
              <w:rPr>
                <w:b/>
                <w:bCs/>
              </w:rPr>
            </w:pPr>
            <w:r>
              <w:rPr>
                <w:rFonts w:hint="eastAsia"/>
                <w:b/>
                <w:bCs/>
              </w:rPr>
              <w:t>考核内容</w:t>
            </w:r>
          </w:p>
        </w:tc>
      </w:tr>
      <w:tr>
        <w:tblPrEx>
          <w:tblLayout w:type="fixed"/>
          <w:tblCellMar>
            <w:top w:w="0" w:type="dxa"/>
            <w:left w:w="108" w:type="dxa"/>
            <w:bottom w:w="0" w:type="dxa"/>
            <w:right w:w="108" w:type="dxa"/>
          </w:tblCellMar>
        </w:tblPrEx>
        <w:trPr>
          <w:trHeight w:val="1360"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ind w:firstLine="0"/>
            </w:pPr>
            <w:r>
              <w:rPr>
                <w:rFonts w:hint="eastAsia"/>
              </w:rPr>
              <w:t>商品</w:t>
            </w:r>
          </w:p>
          <w:p>
            <w:pPr>
              <w:pStyle w:val="2"/>
              <w:ind w:firstLine="0"/>
            </w:pPr>
            <w:r>
              <w:rPr>
                <w:rFonts w:hint="eastAsia"/>
              </w:rPr>
              <w:t>管理</w:t>
            </w:r>
          </w:p>
        </w:tc>
        <w:tc>
          <w:tcPr>
            <w:tcW w:w="873" w:type="dxa"/>
            <w:tcBorders>
              <w:top w:val="nil"/>
              <w:left w:val="nil"/>
              <w:bottom w:val="single" w:color="auto" w:sz="4" w:space="0"/>
              <w:right w:val="single" w:color="auto" w:sz="4" w:space="0"/>
            </w:tcBorders>
            <w:shd w:val="clear" w:color="auto" w:fill="auto"/>
            <w:noWrap/>
            <w:vAlign w:val="center"/>
          </w:tcPr>
          <w:p>
            <w:pPr>
              <w:pStyle w:val="2"/>
              <w:jc w:val="left"/>
            </w:pPr>
            <w:r>
              <w:rPr>
                <w:rFonts w:hint="eastAsia"/>
              </w:rPr>
              <w:t>20</w:t>
            </w:r>
          </w:p>
        </w:tc>
        <w:tc>
          <w:tcPr>
            <w:tcW w:w="7046" w:type="dxa"/>
            <w:tcBorders>
              <w:top w:val="nil"/>
              <w:left w:val="nil"/>
              <w:bottom w:val="single" w:color="auto" w:sz="4" w:space="0"/>
              <w:right w:val="single" w:color="auto" w:sz="4" w:space="0"/>
            </w:tcBorders>
            <w:shd w:val="clear" w:color="auto" w:fill="auto"/>
            <w:vAlign w:val="center"/>
          </w:tcPr>
          <w:p>
            <w:pPr>
              <w:pStyle w:val="2"/>
            </w:pPr>
            <w:r>
              <w:rPr>
                <w:rFonts w:hint="eastAsia"/>
              </w:rPr>
              <w:t>商品分门别类，摆放有序，货架无空段，过道不堆积，商品与价签对应，得20分；</w:t>
            </w:r>
            <w:r>
              <w:rPr>
                <w:rFonts w:hint="eastAsia"/>
              </w:rPr>
              <w:br w:type="textWrapping"/>
            </w:r>
            <w:r>
              <w:rPr>
                <w:rFonts w:hint="eastAsia"/>
              </w:rPr>
              <w:t>商品分门别类，摆放有序，货架有空段，过道有堆积，商品与价签对应，得10分；</w:t>
            </w:r>
            <w:r>
              <w:rPr>
                <w:rFonts w:hint="eastAsia"/>
              </w:rPr>
              <w:br w:type="textWrapping"/>
            </w:r>
            <w:r>
              <w:rPr>
                <w:rFonts w:hint="eastAsia"/>
              </w:rPr>
              <w:t>商品分门别类，摆放有序，货架有空段，过道有堆积，商品与价签不对应，得5分；</w:t>
            </w:r>
            <w:r>
              <w:rPr>
                <w:rFonts w:hint="eastAsia"/>
              </w:rPr>
              <w:br w:type="textWrapping"/>
            </w:r>
            <w:r>
              <w:rPr>
                <w:rFonts w:hint="eastAsia"/>
              </w:rPr>
              <w:t>商品摆放杂乱，货架有空段，过道有堆积，商品与价签不对应，得0分。</w:t>
            </w:r>
          </w:p>
        </w:tc>
      </w:tr>
      <w:tr>
        <w:tblPrEx>
          <w:tblLayout w:type="fixed"/>
          <w:tblCellMar>
            <w:top w:w="0" w:type="dxa"/>
            <w:left w:w="108" w:type="dxa"/>
            <w:bottom w:w="0" w:type="dxa"/>
            <w:right w:w="108" w:type="dxa"/>
          </w:tblCellMar>
        </w:tblPrEx>
        <w:trPr>
          <w:trHeight w:val="655"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ind w:firstLine="0"/>
            </w:pPr>
            <w:r>
              <w:rPr>
                <w:rFonts w:hint="eastAsia"/>
              </w:rPr>
              <w:t>商品</w:t>
            </w:r>
          </w:p>
          <w:p>
            <w:pPr>
              <w:pStyle w:val="2"/>
              <w:ind w:firstLine="0"/>
            </w:pPr>
            <w:r>
              <w:rPr>
                <w:rFonts w:hint="eastAsia"/>
              </w:rPr>
              <w:t>价格</w:t>
            </w:r>
          </w:p>
        </w:tc>
        <w:tc>
          <w:tcPr>
            <w:tcW w:w="873" w:type="dxa"/>
            <w:tcBorders>
              <w:top w:val="nil"/>
              <w:left w:val="nil"/>
              <w:bottom w:val="single" w:color="auto" w:sz="4" w:space="0"/>
              <w:right w:val="single" w:color="auto" w:sz="4" w:space="0"/>
            </w:tcBorders>
            <w:shd w:val="clear" w:color="auto" w:fill="auto"/>
            <w:noWrap/>
            <w:vAlign w:val="center"/>
          </w:tcPr>
          <w:p>
            <w:pPr>
              <w:pStyle w:val="2"/>
              <w:jc w:val="left"/>
            </w:pPr>
            <w:r>
              <w:rPr>
                <w:rFonts w:hint="eastAsia"/>
              </w:rPr>
              <w:t>20</w:t>
            </w:r>
          </w:p>
        </w:tc>
        <w:tc>
          <w:tcPr>
            <w:tcW w:w="7046" w:type="dxa"/>
            <w:tcBorders>
              <w:top w:val="nil"/>
              <w:left w:val="nil"/>
              <w:bottom w:val="single" w:color="auto" w:sz="4" w:space="0"/>
              <w:right w:val="single" w:color="auto" w:sz="4" w:space="0"/>
            </w:tcBorders>
            <w:shd w:val="clear" w:color="auto" w:fill="auto"/>
            <w:vAlign w:val="center"/>
          </w:tcPr>
          <w:p>
            <w:pPr>
              <w:pStyle w:val="2"/>
            </w:pPr>
            <w:r>
              <w:rPr>
                <w:rFonts w:hint="eastAsia"/>
              </w:rPr>
              <w:t>商品价格须明码标价，缺一个扣1分，价格高于周边地区商超同类商品价格，高一个扣1分，扣完为止。</w:t>
            </w:r>
          </w:p>
        </w:tc>
      </w:tr>
      <w:tr>
        <w:tblPrEx>
          <w:tblLayout w:type="fixed"/>
          <w:tblCellMar>
            <w:top w:w="0" w:type="dxa"/>
            <w:left w:w="108" w:type="dxa"/>
            <w:bottom w:w="0" w:type="dxa"/>
            <w:right w:w="108" w:type="dxa"/>
          </w:tblCellMar>
        </w:tblPrEx>
        <w:trPr>
          <w:trHeight w:val="1163"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ind w:firstLine="0"/>
            </w:pPr>
            <w:r>
              <w:rPr>
                <w:rFonts w:hint="eastAsia"/>
              </w:rPr>
              <w:t>商品</w:t>
            </w:r>
          </w:p>
          <w:p>
            <w:pPr>
              <w:pStyle w:val="2"/>
              <w:ind w:firstLine="0"/>
            </w:pPr>
            <w:r>
              <w:rPr>
                <w:rFonts w:hint="eastAsia"/>
              </w:rPr>
              <w:t>质量</w:t>
            </w:r>
          </w:p>
        </w:tc>
        <w:tc>
          <w:tcPr>
            <w:tcW w:w="873" w:type="dxa"/>
            <w:tcBorders>
              <w:top w:val="nil"/>
              <w:left w:val="nil"/>
              <w:bottom w:val="single" w:color="auto" w:sz="4" w:space="0"/>
              <w:right w:val="single" w:color="auto" w:sz="4" w:space="0"/>
            </w:tcBorders>
            <w:shd w:val="clear" w:color="auto" w:fill="auto"/>
            <w:noWrap/>
            <w:vAlign w:val="center"/>
          </w:tcPr>
          <w:p>
            <w:pPr>
              <w:pStyle w:val="2"/>
              <w:jc w:val="left"/>
            </w:pPr>
            <w:r>
              <w:rPr>
                <w:rFonts w:hint="eastAsia"/>
              </w:rPr>
              <w:t>15</w:t>
            </w:r>
          </w:p>
        </w:tc>
        <w:tc>
          <w:tcPr>
            <w:tcW w:w="7046" w:type="dxa"/>
            <w:tcBorders>
              <w:top w:val="nil"/>
              <w:left w:val="nil"/>
              <w:bottom w:val="single" w:color="auto" w:sz="4" w:space="0"/>
              <w:right w:val="single" w:color="auto" w:sz="4" w:space="0"/>
            </w:tcBorders>
            <w:shd w:val="clear" w:color="auto" w:fill="auto"/>
            <w:vAlign w:val="center"/>
          </w:tcPr>
          <w:p>
            <w:pPr>
              <w:pStyle w:val="2"/>
            </w:pPr>
            <w:r>
              <w:rPr>
                <w:rFonts w:hint="eastAsia"/>
              </w:rPr>
              <w:t>商品包装整洁、质保期内、非三无产品，得15分；</w:t>
            </w:r>
            <w:r>
              <w:rPr>
                <w:rFonts w:hint="eastAsia"/>
              </w:rPr>
              <w:br w:type="textWrapping"/>
            </w:r>
            <w:r>
              <w:rPr>
                <w:rFonts w:hint="eastAsia"/>
              </w:rPr>
              <w:t>商品包装不洁、质保期内、非三无产品，得10分；</w:t>
            </w:r>
            <w:r>
              <w:rPr>
                <w:rFonts w:hint="eastAsia"/>
              </w:rPr>
              <w:br w:type="textWrapping"/>
            </w:r>
            <w:r>
              <w:rPr>
                <w:rFonts w:hint="eastAsia"/>
              </w:rPr>
              <w:t>商品包装不洁、质保期内、三无产品，得0分；</w:t>
            </w:r>
            <w:r>
              <w:rPr>
                <w:rFonts w:hint="eastAsia"/>
              </w:rPr>
              <w:br w:type="textWrapping"/>
            </w:r>
            <w:r>
              <w:rPr>
                <w:rFonts w:hint="eastAsia"/>
              </w:rPr>
              <w:t>商品包装不洁、质保期外、非三无产品，得0分。</w:t>
            </w:r>
          </w:p>
        </w:tc>
      </w:tr>
      <w:tr>
        <w:tblPrEx>
          <w:tblLayout w:type="fixed"/>
          <w:tblCellMar>
            <w:top w:w="0" w:type="dxa"/>
            <w:left w:w="108" w:type="dxa"/>
            <w:bottom w:w="0" w:type="dxa"/>
            <w:right w:w="108" w:type="dxa"/>
          </w:tblCellMar>
        </w:tblPrEx>
        <w:trPr>
          <w:trHeight w:val="890"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ind w:firstLine="0"/>
            </w:pPr>
            <w:r>
              <w:rPr>
                <w:rFonts w:hint="eastAsia"/>
              </w:rPr>
              <w:t>商品</w:t>
            </w:r>
          </w:p>
          <w:p>
            <w:pPr>
              <w:pStyle w:val="2"/>
              <w:ind w:firstLine="0"/>
            </w:pPr>
            <w:r>
              <w:rPr>
                <w:rFonts w:hint="eastAsia"/>
              </w:rPr>
              <w:t>配运</w:t>
            </w:r>
          </w:p>
        </w:tc>
        <w:tc>
          <w:tcPr>
            <w:tcW w:w="873" w:type="dxa"/>
            <w:tcBorders>
              <w:top w:val="nil"/>
              <w:left w:val="nil"/>
              <w:bottom w:val="single" w:color="auto" w:sz="4" w:space="0"/>
              <w:right w:val="single" w:color="auto" w:sz="4" w:space="0"/>
            </w:tcBorders>
            <w:shd w:val="clear" w:color="auto" w:fill="auto"/>
            <w:noWrap/>
            <w:vAlign w:val="center"/>
          </w:tcPr>
          <w:p>
            <w:pPr>
              <w:pStyle w:val="2"/>
            </w:pPr>
            <w:r>
              <w:rPr>
                <w:rFonts w:hint="eastAsia"/>
              </w:rPr>
              <w:t>15</w:t>
            </w:r>
          </w:p>
        </w:tc>
        <w:tc>
          <w:tcPr>
            <w:tcW w:w="7046" w:type="dxa"/>
            <w:tcBorders>
              <w:top w:val="nil"/>
              <w:left w:val="nil"/>
              <w:bottom w:val="single" w:color="auto" w:sz="4" w:space="0"/>
              <w:right w:val="single" w:color="auto" w:sz="4" w:space="0"/>
            </w:tcBorders>
            <w:shd w:val="clear" w:color="auto" w:fill="auto"/>
            <w:vAlign w:val="center"/>
          </w:tcPr>
          <w:p>
            <w:pPr>
              <w:pStyle w:val="2"/>
            </w:pPr>
            <w:r>
              <w:rPr>
                <w:rFonts w:hint="eastAsia"/>
              </w:rPr>
              <w:t>商品配运在指定时间段内完成，及时入库正常销售，得15分；</w:t>
            </w:r>
            <w:r>
              <w:rPr>
                <w:rFonts w:hint="eastAsia"/>
              </w:rPr>
              <w:br w:type="textWrapping"/>
            </w:r>
            <w:r>
              <w:rPr>
                <w:rFonts w:hint="eastAsia"/>
              </w:rPr>
              <w:t>商品配运未在指定时间段内完成，及时入库正常销售，得10分；</w:t>
            </w:r>
            <w:r>
              <w:rPr>
                <w:rFonts w:hint="eastAsia"/>
              </w:rPr>
              <w:br w:type="textWrapping"/>
            </w:r>
            <w:r>
              <w:rPr>
                <w:rFonts w:hint="eastAsia"/>
              </w:rPr>
              <w:t>商品配运在指定时间段内完成，未及时入库无法销售，得0分；</w:t>
            </w:r>
          </w:p>
        </w:tc>
      </w:tr>
      <w:tr>
        <w:tblPrEx>
          <w:tblLayout w:type="fixed"/>
          <w:tblCellMar>
            <w:top w:w="0" w:type="dxa"/>
            <w:left w:w="108" w:type="dxa"/>
            <w:bottom w:w="0" w:type="dxa"/>
            <w:right w:w="108" w:type="dxa"/>
          </w:tblCellMar>
        </w:tblPrEx>
        <w:trPr>
          <w:trHeight w:val="1108"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ind w:firstLine="0"/>
            </w:pPr>
            <w:r>
              <w:rPr>
                <w:rFonts w:hint="eastAsia"/>
              </w:rPr>
              <w:t>商品</w:t>
            </w:r>
          </w:p>
          <w:p>
            <w:pPr>
              <w:pStyle w:val="2"/>
              <w:ind w:firstLine="0"/>
            </w:pPr>
            <w:r>
              <w:rPr>
                <w:rFonts w:hint="eastAsia"/>
              </w:rPr>
              <w:t>经营</w:t>
            </w:r>
          </w:p>
        </w:tc>
        <w:tc>
          <w:tcPr>
            <w:tcW w:w="873" w:type="dxa"/>
            <w:tcBorders>
              <w:top w:val="nil"/>
              <w:left w:val="nil"/>
              <w:bottom w:val="single" w:color="auto" w:sz="4" w:space="0"/>
              <w:right w:val="single" w:color="auto" w:sz="4" w:space="0"/>
            </w:tcBorders>
            <w:shd w:val="clear" w:color="auto" w:fill="auto"/>
            <w:noWrap/>
            <w:vAlign w:val="center"/>
          </w:tcPr>
          <w:p>
            <w:pPr>
              <w:pStyle w:val="2"/>
            </w:pPr>
            <w:r>
              <w:rPr>
                <w:rFonts w:hint="eastAsia"/>
              </w:rPr>
              <w:t>10</w:t>
            </w:r>
          </w:p>
        </w:tc>
        <w:tc>
          <w:tcPr>
            <w:tcW w:w="7046" w:type="dxa"/>
            <w:tcBorders>
              <w:top w:val="nil"/>
              <w:left w:val="nil"/>
              <w:bottom w:val="single" w:color="auto" w:sz="4" w:space="0"/>
              <w:right w:val="single" w:color="auto" w:sz="4" w:space="0"/>
            </w:tcBorders>
            <w:shd w:val="clear" w:color="auto" w:fill="auto"/>
            <w:vAlign w:val="center"/>
          </w:tcPr>
          <w:p>
            <w:pPr>
              <w:pStyle w:val="2"/>
            </w:pPr>
            <w:r>
              <w:rPr>
                <w:rFonts w:hint="eastAsia"/>
              </w:rPr>
              <w:t>遵守监督管理，经营需求及时上报，不私自从事经营范围以外的项目，得10分；</w:t>
            </w:r>
            <w:r>
              <w:rPr>
                <w:rFonts w:hint="eastAsia"/>
              </w:rPr>
              <w:br w:type="textWrapping"/>
            </w:r>
            <w:r>
              <w:rPr>
                <w:rFonts w:hint="eastAsia"/>
              </w:rPr>
              <w:t>不遵守监督管理，得0分；</w:t>
            </w:r>
            <w:r>
              <w:rPr>
                <w:rFonts w:hint="eastAsia"/>
              </w:rPr>
              <w:br w:type="textWrapping"/>
            </w:r>
            <w:r>
              <w:rPr>
                <w:rFonts w:hint="eastAsia"/>
              </w:rPr>
              <w:t>私自从事经营范围以外的项目，得0分；</w:t>
            </w:r>
          </w:p>
        </w:tc>
      </w:tr>
      <w:tr>
        <w:tblPrEx>
          <w:tblLayout w:type="fixed"/>
          <w:tblCellMar>
            <w:top w:w="0" w:type="dxa"/>
            <w:left w:w="108" w:type="dxa"/>
            <w:bottom w:w="0" w:type="dxa"/>
            <w:right w:w="108" w:type="dxa"/>
          </w:tblCellMar>
        </w:tblPrEx>
        <w:trPr>
          <w:trHeight w:val="909"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ind w:firstLine="0"/>
            </w:pPr>
            <w:r>
              <w:rPr>
                <w:rFonts w:hint="eastAsia"/>
              </w:rPr>
              <w:t>硬软件管理</w:t>
            </w:r>
          </w:p>
        </w:tc>
        <w:tc>
          <w:tcPr>
            <w:tcW w:w="873" w:type="dxa"/>
            <w:tcBorders>
              <w:top w:val="nil"/>
              <w:left w:val="nil"/>
              <w:bottom w:val="single" w:color="auto" w:sz="4" w:space="0"/>
              <w:right w:val="single" w:color="auto" w:sz="4" w:space="0"/>
            </w:tcBorders>
            <w:shd w:val="clear" w:color="auto" w:fill="auto"/>
            <w:noWrap/>
            <w:vAlign w:val="center"/>
          </w:tcPr>
          <w:p>
            <w:pPr>
              <w:pStyle w:val="2"/>
            </w:pPr>
            <w:r>
              <w:rPr>
                <w:rFonts w:hint="eastAsia"/>
              </w:rPr>
              <w:t>10</w:t>
            </w:r>
          </w:p>
        </w:tc>
        <w:tc>
          <w:tcPr>
            <w:tcW w:w="7046" w:type="dxa"/>
            <w:tcBorders>
              <w:top w:val="nil"/>
              <w:left w:val="nil"/>
              <w:bottom w:val="single" w:color="auto" w:sz="4" w:space="0"/>
              <w:right w:val="single" w:color="auto" w:sz="4" w:space="0"/>
            </w:tcBorders>
            <w:shd w:val="clear" w:color="auto" w:fill="auto"/>
            <w:vAlign w:val="center"/>
          </w:tcPr>
          <w:p>
            <w:pPr>
              <w:pStyle w:val="2"/>
            </w:pPr>
            <w:r>
              <w:rPr>
                <w:rFonts w:hint="eastAsia"/>
              </w:rPr>
              <w:t>按要求提供硬件设备，使用乐檬系统（含收银系统），得10分；</w:t>
            </w:r>
            <w:r>
              <w:rPr>
                <w:rFonts w:hint="eastAsia"/>
              </w:rPr>
              <w:br w:type="textWrapping"/>
            </w:r>
            <w:r>
              <w:rPr>
                <w:rFonts w:hint="eastAsia"/>
              </w:rPr>
              <w:t>未按要求提供硬件设备，得0分；</w:t>
            </w:r>
            <w:r>
              <w:rPr>
                <w:rFonts w:hint="eastAsia"/>
              </w:rPr>
              <w:br w:type="textWrapping"/>
            </w:r>
            <w:r>
              <w:rPr>
                <w:rFonts w:hint="eastAsia"/>
              </w:rPr>
              <w:t>未使用乐檬系统（含收银系统），得0分。</w:t>
            </w:r>
          </w:p>
        </w:tc>
      </w:tr>
      <w:tr>
        <w:tblPrEx>
          <w:tblLayout w:type="fixed"/>
          <w:tblCellMar>
            <w:top w:w="0" w:type="dxa"/>
            <w:left w:w="108" w:type="dxa"/>
            <w:bottom w:w="0" w:type="dxa"/>
            <w:right w:w="108" w:type="dxa"/>
          </w:tblCellMar>
        </w:tblPrEx>
        <w:trPr>
          <w:trHeight w:val="1200" w:hRule="atLeast"/>
          <w:jc w:val="center"/>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ind w:firstLine="0"/>
            </w:pPr>
            <w:r>
              <w:rPr>
                <w:rFonts w:hint="eastAsia"/>
              </w:rPr>
              <w:t>客户满意度</w:t>
            </w:r>
          </w:p>
        </w:tc>
        <w:tc>
          <w:tcPr>
            <w:tcW w:w="873" w:type="dxa"/>
            <w:tcBorders>
              <w:top w:val="nil"/>
              <w:left w:val="nil"/>
              <w:bottom w:val="single" w:color="auto" w:sz="4" w:space="0"/>
              <w:right w:val="single" w:color="auto" w:sz="4" w:space="0"/>
            </w:tcBorders>
            <w:shd w:val="clear" w:color="auto" w:fill="auto"/>
            <w:noWrap/>
            <w:vAlign w:val="center"/>
          </w:tcPr>
          <w:p>
            <w:pPr>
              <w:pStyle w:val="2"/>
            </w:pPr>
            <w:r>
              <w:rPr>
                <w:rFonts w:hint="eastAsia"/>
              </w:rPr>
              <w:t>10</w:t>
            </w:r>
          </w:p>
        </w:tc>
        <w:tc>
          <w:tcPr>
            <w:tcW w:w="7046" w:type="dxa"/>
            <w:tcBorders>
              <w:top w:val="nil"/>
              <w:left w:val="nil"/>
              <w:bottom w:val="single" w:color="auto" w:sz="4" w:space="0"/>
              <w:right w:val="single" w:color="auto" w:sz="4" w:space="0"/>
            </w:tcBorders>
            <w:shd w:val="clear" w:color="auto" w:fill="auto"/>
            <w:vAlign w:val="center"/>
          </w:tcPr>
          <w:p>
            <w:pPr>
              <w:pStyle w:val="2"/>
            </w:pPr>
            <w:r>
              <w:rPr>
                <w:rFonts w:hint="eastAsia"/>
              </w:rPr>
              <w:t>无客户投诉，无违法违纪行为，经营作风良好，得10分；</w:t>
            </w:r>
            <w:r>
              <w:rPr>
                <w:rFonts w:hint="eastAsia"/>
              </w:rPr>
              <w:br w:type="textWrapping"/>
            </w:r>
            <w:r>
              <w:rPr>
                <w:rFonts w:hint="eastAsia"/>
              </w:rPr>
              <w:t>有客户投诉，得0分；</w:t>
            </w:r>
            <w:r>
              <w:rPr>
                <w:rFonts w:hint="eastAsia"/>
              </w:rPr>
              <w:br w:type="textWrapping"/>
            </w:r>
            <w:r>
              <w:rPr>
                <w:rFonts w:hint="eastAsia"/>
              </w:rPr>
              <w:t>有违法违纪行为，得0分；</w:t>
            </w:r>
            <w:r>
              <w:rPr>
                <w:rFonts w:hint="eastAsia"/>
              </w:rPr>
              <w:br w:type="textWrapping"/>
            </w:r>
            <w:r>
              <w:rPr>
                <w:rFonts w:hint="eastAsia"/>
              </w:rPr>
              <w:t>经营作风不佳，得0分。</w:t>
            </w:r>
          </w:p>
        </w:tc>
      </w:tr>
      <w:tr>
        <w:tblPrEx>
          <w:tblLayout w:type="fixed"/>
          <w:tblCellMar>
            <w:top w:w="0" w:type="dxa"/>
            <w:left w:w="108" w:type="dxa"/>
            <w:bottom w:w="0" w:type="dxa"/>
            <w:right w:w="108" w:type="dxa"/>
          </w:tblCellMar>
        </w:tblPrEx>
        <w:trPr>
          <w:trHeight w:val="437" w:hRule="atLeast"/>
          <w:jc w:val="center"/>
        </w:trPr>
        <w:tc>
          <w:tcPr>
            <w:tcW w:w="87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pPr>
            <w:r>
              <w:rPr>
                <w:rFonts w:hint="eastAsia"/>
              </w:rPr>
              <w:t>注：考核满分100分，得80分即为考核合格。</w:t>
            </w:r>
          </w:p>
        </w:tc>
      </w:tr>
      <w:tr>
        <w:tblPrEx>
          <w:tblLayout w:type="fixed"/>
          <w:tblCellMar>
            <w:top w:w="0" w:type="dxa"/>
            <w:left w:w="108" w:type="dxa"/>
            <w:bottom w:w="0" w:type="dxa"/>
            <w:right w:w="108" w:type="dxa"/>
          </w:tblCellMar>
        </w:tblPrEx>
        <w:trPr>
          <w:trHeight w:val="405" w:hRule="atLeast"/>
          <w:jc w:val="center"/>
        </w:trPr>
        <w:tc>
          <w:tcPr>
            <w:tcW w:w="8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pPr>
            <w:r>
              <w:rPr>
                <w:rFonts w:hint="eastAsia"/>
              </w:rPr>
              <w:t>合作期内招标人将不定期对中标人开展考核工作，考核不合格，招标人可以直接解除合同。</w:t>
            </w:r>
          </w:p>
        </w:tc>
      </w:tr>
    </w:tbl>
    <w:p>
      <w:pPr>
        <w:pStyle w:val="2"/>
      </w:pPr>
    </w:p>
    <w:p>
      <w:pPr>
        <w:snapToGrid w:val="0"/>
        <w:spacing w:line="560" w:lineRule="exact"/>
        <w:ind w:firstLine="640" w:firstLineChars="200"/>
        <w:rPr>
          <w:rStyle w:val="22"/>
          <w:rFonts w:ascii="黑体" w:hAnsi="黑体" w:eastAsia="黑体" w:cs="黑体"/>
          <w:bCs/>
          <w:sz w:val="32"/>
          <w:szCs w:val="32"/>
        </w:rPr>
      </w:pPr>
      <w:r>
        <w:rPr>
          <w:rStyle w:val="22"/>
          <w:rFonts w:hint="eastAsia" w:ascii="黑体" w:hAnsi="黑体" w:eastAsia="黑体" w:cs="黑体"/>
          <w:bCs/>
          <w:sz w:val="32"/>
          <w:szCs w:val="32"/>
        </w:rPr>
        <w:t>四、其它相关说明：</w:t>
      </w:r>
    </w:p>
    <w:p>
      <w:pPr>
        <w:snapToGrid w:val="0"/>
        <w:spacing w:line="560" w:lineRule="exact"/>
        <w:ind w:firstLine="640" w:firstLineChars="200"/>
        <w:jc w:val="left"/>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中标单位与采购人签订合同。</w:t>
      </w:r>
    </w:p>
    <w:p>
      <w:pPr>
        <w:snapToGrid w:val="0"/>
        <w:spacing w:line="560" w:lineRule="exact"/>
        <w:ind w:firstLine="640" w:firstLineChars="200"/>
        <w:jc w:val="left"/>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2、投标供应商在递交投标文件时需向招标代理机构缴纳招标文件工本费500元，该费用无论中标与否均不予退还。请投标供应商自带并按照要求缴纳，否则，招标人可以拒绝接收其投标文件。</w:t>
      </w:r>
    </w:p>
    <w:p>
      <w:pPr>
        <w:snapToGrid w:val="0"/>
        <w:spacing w:line="560" w:lineRule="exact"/>
        <w:ind w:firstLine="640" w:firstLineChars="200"/>
        <w:jc w:val="left"/>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3、无论投标结果如何，投标人自行承担与投标相应有关的全部费用。</w:t>
      </w:r>
    </w:p>
    <w:p>
      <w:pPr>
        <w:snapToGrid w:val="0"/>
        <w:spacing w:line="360" w:lineRule="auto"/>
        <w:jc w:val="center"/>
        <w:rPr>
          <w:rStyle w:val="22"/>
          <w:rFonts w:ascii="宋体" w:hAnsi="宋体" w:cs="宋体"/>
          <w:b/>
          <w:bCs/>
          <w:sz w:val="44"/>
          <w:szCs w:val="44"/>
        </w:rPr>
      </w:pPr>
    </w:p>
    <w:p>
      <w:pPr>
        <w:snapToGrid w:val="0"/>
        <w:spacing w:line="360" w:lineRule="auto"/>
        <w:jc w:val="center"/>
        <w:rPr>
          <w:rStyle w:val="22"/>
          <w:rFonts w:ascii="方正小标宋_GBK" w:hAnsi="方正小标宋_GBK" w:eastAsia="方正小标宋_GBK" w:cs="方正小标宋_GBK"/>
          <w:sz w:val="44"/>
          <w:szCs w:val="44"/>
        </w:rPr>
      </w:pPr>
      <w:r>
        <w:rPr>
          <w:rStyle w:val="22"/>
          <w:rFonts w:hint="eastAsia" w:ascii="方正小标宋_GBK" w:hAnsi="方正小标宋_GBK" w:eastAsia="方正小标宋_GBK" w:cs="方正小标宋_GBK"/>
          <w:sz w:val="44"/>
          <w:szCs w:val="44"/>
        </w:rPr>
        <w:t>第三部分   投标人须知</w:t>
      </w:r>
    </w:p>
    <w:p>
      <w:pPr>
        <w:pStyle w:val="20"/>
        <w:snapToGrid w:val="0"/>
        <w:rPr>
          <w:rStyle w:val="22"/>
          <w:rFonts w:ascii="黑体" w:hAnsi="黑体" w:eastAsia="黑体" w:cs="黑体"/>
          <w:b w:val="0"/>
          <w:bCs/>
          <w:sz w:val="32"/>
          <w:szCs w:val="32"/>
        </w:rPr>
      </w:pPr>
      <w:r>
        <w:rPr>
          <w:rStyle w:val="22"/>
          <w:rFonts w:hint="eastAsia" w:ascii="黑体" w:hAnsi="黑体" w:eastAsia="黑体" w:cs="黑体"/>
          <w:b w:val="0"/>
          <w:bCs/>
          <w:sz w:val="32"/>
          <w:szCs w:val="32"/>
        </w:rPr>
        <w:t>一、招标采购文件说明</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 招标采购文件由招标方负责解释。</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2、 招标采购文件由下述部分组成：</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第一部分   招标公告</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第二部分   采购项目需求</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第三部分   投标人须知</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第四部分   开评标</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第五部分</w:t>
      </w:r>
      <w:r>
        <w:rPr>
          <w:rStyle w:val="22"/>
          <w:rFonts w:hint="eastAsia" w:ascii="仿宋_GB2312" w:hAnsi="仿宋_GB2312" w:eastAsia="仿宋_GB2312" w:cs="仿宋_GB2312"/>
          <w:sz w:val="32"/>
          <w:szCs w:val="32"/>
          <w:lang w:val="en-US" w:eastAsia="zh-CN"/>
        </w:rPr>
        <w:t xml:space="preserve">   </w:t>
      </w:r>
      <w:r>
        <w:rPr>
          <w:rStyle w:val="22"/>
          <w:rFonts w:hint="eastAsia" w:ascii="仿宋_GB2312" w:hAnsi="仿宋_GB2312" w:eastAsia="仿宋_GB2312" w:cs="仿宋_GB2312"/>
          <w:sz w:val="32"/>
          <w:szCs w:val="32"/>
          <w:lang w:val="en-GB"/>
        </w:rPr>
        <w:t>合同相关要求</w:t>
      </w:r>
    </w:p>
    <w:p>
      <w:pPr>
        <w:snapToGrid w:val="0"/>
        <w:spacing w:line="560" w:lineRule="exact"/>
        <w:ind w:left="-363" w:firstLine="640" w:firstLineChars="200"/>
        <w:rPr>
          <w:rStyle w:val="22"/>
          <w:rFonts w:ascii="宋体" w:hAnsi="宋体"/>
          <w:sz w:val="24"/>
          <w:szCs w:val="24"/>
          <w:lang w:val="en-GB"/>
        </w:rPr>
      </w:pPr>
      <w:r>
        <w:rPr>
          <w:rStyle w:val="22"/>
          <w:rFonts w:hint="eastAsia" w:ascii="仿宋_GB2312" w:hAnsi="仿宋_GB2312" w:eastAsia="仿宋_GB2312" w:cs="仿宋_GB2312"/>
          <w:sz w:val="32"/>
          <w:szCs w:val="32"/>
          <w:lang w:val="en-GB"/>
        </w:rPr>
        <w:t>第六部分   投标文件格式</w:t>
      </w:r>
    </w:p>
    <w:p>
      <w:pPr>
        <w:pStyle w:val="20"/>
        <w:snapToGrid w:val="0"/>
        <w:spacing w:line="560" w:lineRule="exact"/>
        <w:rPr>
          <w:rStyle w:val="22"/>
          <w:rFonts w:ascii="黑体" w:hAnsi="黑体" w:eastAsia="黑体" w:cs="黑体"/>
          <w:b w:val="0"/>
          <w:bCs/>
          <w:sz w:val="32"/>
          <w:szCs w:val="32"/>
        </w:rPr>
      </w:pPr>
      <w:r>
        <w:rPr>
          <w:rStyle w:val="22"/>
          <w:rFonts w:hint="eastAsia" w:ascii="黑体" w:hAnsi="黑体" w:eastAsia="黑体" w:cs="黑体"/>
          <w:b w:val="0"/>
          <w:bCs/>
          <w:sz w:val="32"/>
          <w:szCs w:val="32"/>
        </w:rPr>
        <w:t>二、招标采购文件的澄清和修改</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1、供应商领取招标文件后，应仔细检查招标文件的所有内容，如对本次招标文件存在疑问，请将书面询问文件在本项目投标截止时间</w:t>
      </w:r>
      <w:r>
        <w:rPr>
          <w:rStyle w:val="22"/>
          <w:rFonts w:hint="eastAsia" w:ascii="仿宋_GB2312" w:hAnsi="仿宋_GB2312" w:eastAsia="仿宋_GB2312" w:cs="仿宋_GB2312"/>
          <w:sz w:val="32"/>
          <w:szCs w:val="32"/>
        </w:rPr>
        <w:t>5日</w:t>
      </w:r>
      <w:r>
        <w:rPr>
          <w:rStyle w:val="22"/>
          <w:rFonts w:hint="eastAsia" w:ascii="仿宋_GB2312" w:hAnsi="仿宋_GB2312" w:eastAsia="仿宋_GB2312" w:cs="仿宋_GB2312"/>
          <w:sz w:val="32"/>
          <w:szCs w:val="32"/>
          <w:lang w:val="en-GB"/>
        </w:rPr>
        <w:t>前，送至江苏天业工程咨询房地产估价有限责任公司，招标方将做统一答复；如规定时间内未收到任何书面质疑，则视为各投标供应商均理解并接受本招标文件所有内容。同时供应商不得在招标结束后针对招标文件所有内容提出质疑事项。</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3.采购单位有权对发出的招标文件进行必要的澄清或修改。采购单位对招标文件的澄清、修改将构成招标文件的一部分，对所有投标供应商具有约束力。</w:t>
      </w:r>
    </w:p>
    <w:p>
      <w:pPr>
        <w:snapToGrid w:val="0"/>
        <w:spacing w:line="560" w:lineRule="exact"/>
        <w:ind w:left="-363"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4.采购单位可视情取消、延长投标截止时间和开标时间，不负责解释。</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5.投标供应商由于对招标文件的任何推论和误解以及采购单位对有关问题的口头解释所造成的后果，均由投标供应商自负。</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6.采购单位视情组织答疑会。</w:t>
      </w:r>
    </w:p>
    <w:p>
      <w:pPr>
        <w:pStyle w:val="20"/>
        <w:snapToGrid w:val="0"/>
        <w:spacing w:line="560" w:lineRule="exac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lang w:val="en-GB"/>
        </w:rPr>
        <w:t>三</w:t>
      </w:r>
      <w:r>
        <w:rPr>
          <w:rStyle w:val="22"/>
          <w:rFonts w:hint="eastAsia" w:ascii="仿宋_GB2312" w:hAnsi="仿宋_GB2312" w:eastAsia="仿宋_GB2312" w:cs="仿宋_GB2312"/>
          <w:sz w:val="32"/>
          <w:szCs w:val="32"/>
        </w:rPr>
        <w:t>、投标文件的制作</w:t>
      </w:r>
    </w:p>
    <w:p>
      <w:pPr>
        <w:pStyle w:val="21"/>
        <w:snapToGrid w:val="0"/>
        <w:spacing w:line="560" w:lineRule="exact"/>
        <w:rPr>
          <w:rStyle w:val="22"/>
          <w:rFonts w:ascii="仿宋_GB2312" w:hAnsi="仿宋_GB2312" w:eastAsia="仿宋_GB2312" w:cs="仿宋_GB2312"/>
          <w:szCs w:val="32"/>
        </w:rPr>
      </w:pPr>
      <w:r>
        <w:rPr>
          <w:rStyle w:val="22"/>
          <w:rFonts w:hint="eastAsia" w:ascii="仿宋_GB2312" w:hAnsi="仿宋_GB2312" w:eastAsia="仿宋_GB2312" w:cs="仿宋_GB2312"/>
          <w:szCs w:val="32"/>
        </w:rPr>
        <w:t>1、 原则：</w:t>
      </w:r>
    </w:p>
    <w:p>
      <w:pPr>
        <w:snapToGrid w:val="0"/>
        <w:spacing w:line="560" w:lineRule="exact"/>
        <w:ind w:left="-363"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（1）投标人应保证所提供的所有资料的真实性、准确性。</w:t>
      </w:r>
    </w:p>
    <w:p>
      <w:pPr>
        <w:snapToGrid w:val="0"/>
        <w:spacing w:line="560" w:lineRule="exact"/>
        <w:ind w:left="-363"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（2）投标人在招标过程中提供不真实的材料，无论其材料是否重要，采购方都将终止其投标资格，投标人需承担相应的后果及法律责任。</w:t>
      </w:r>
    </w:p>
    <w:p>
      <w:pPr>
        <w:snapToGrid w:val="0"/>
        <w:spacing w:line="560" w:lineRule="exact"/>
        <w:ind w:left="-363"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（3）采购方拒绝接受电报、电话或传真形式的投标文件。</w:t>
      </w:r>
    </w:p>
    <w:p>
      <w:pPr>
        <w:pStyle w:val="21"/>
        <w:snapToGrid w:val="0"/>
        <w:spacing w:line="560" w:lineRule="exact"/>
        <w:rPr>
          <w:rStyle w:val="22"/>
          <w:rFonts w:ascii="仿宋_GB2312" w:hAnsi="仿宋_GB2312" w:eastAsia="仿宋_GB2312" w:cs="仿宋_GB2312"/>
          <w:szCs w:val="32"/>
        </w:rPr>
      </w:pPr>
      <w:r>
        <w:rPr>
          <w:rStyle w:val="22"/>
          <w:rFonts w:hint="eastAsia" w:ascii="仿宋_GB2312" w:hAnsi="仿宋_GB2312" w:eastAsia="仿宋_GB2312" w:cs="仿宋_GB2312"/>
          <w:szCs w:val="32"/>
        </w:rPr>
        <w:t>2、 投标文件的组成：见本招标采购文件第六部分“投标文件格式”。</w:t>
      </w:r>
    </w:p>
    <w:p>
      <w:pPr>
        <w:snapToGrid w:val="0"/>
        <w:spacing w:line="560" w:lineRule="exact"/>
        <w:ind w:firstLine="643"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b/>
          <w:sz w:val="32"/>
          <w:szCs w:val="32"/>
        </w:rPr>
        <w:t>特别提示：请投标人携带</w:t>
      </w:r>
      <w:r>
        <w:rPr>
          <w:rStyle w:val="22"/>
          <w:rFonts w:hint="eastAsia" w:ascii="仿宋_GB2312" w:hAnsi="仿宋_GB2312" w:eastAsia="仿宋_GB2312" w:cs="仿宋_GB2312"/>
          <w:b/>
          <w:kern w:val="0"/>
          <w:sz w:val="32"/>
          <w:szCs w:val="32"/>
        </w:rPr>
        <w:t>相关原件用于备查。</w:t>
      </w:r>
      <w:r>
        <w:rPr>
          <w:rStyle w:val="22"/>
          <w:rFonts w:hint="eastAsia" w:ascii="仿宋_GB2312" w:hAnsi="仿宋_GB2312" w:eastAsia="仿宋_GB2312" w:cs="仿宋_GB2312"/>
          <w:kern w:val="0"/>
          <w:sz w:val="32"/>
          <w:szCs w:val="32"/>
        </w:rPr>
        <w:t>不能提供原件的，</w:t>
      </w:r>
      <w:r>
        <w:rPr>
          <w:rStyle w:val="22"/>
          <w:rFonts w:hint="eastAsia" w:ascii="仿宋_GB2312" w:hAnsi="仿宋_GB2312" w:eastAsia="仿宋_GB2312" w:cs="仿宋_GB2312"/>
          <w:sz w:val="32"/>
          <w:szCs w:val="32"/>
        </w:rPr>
        <w:t>则需投标人提供经注册地公证机构的公证书或原发证机构出具的相关证明材料。</w:t>
      </w:r>
      <w:r>
        <w:rPr>
          <w:rStyle w:val="22"/>
          <w:rFonts w:hint="eastAsia" w:ascii="仿宋_GB2312" w:hAnsi="仿宋_GB2312" w:eastAsia="仿宋_GB2312" w:cs="仿宋_GB2312"/>
          <w:kern w:val="0"/>
          <w:sz w:val="32"/>
          <w:szCs w:val="32"/>
        </w:rPr>
        <w:t>复印件请加盖单位公章。因携带原件不全，由此引起的后果由投标人自负。（须</w:t>
      </w:r>
      <w:r>
        <w:rPr>
          <w:rStyle w:val="22"/>
          <w:rFonts w:hint="eastAsia" w:ascii="仿宋_GB2312" w:hAnsi="仿宋_GB2312" w:eastAsia="仿宋_GB2312" w:cs="仿宋_GB2312"/>
          <w:bCs/>
          <w:sz w:val="32"/>
          <w:szCs w:val="32"/>
        </w:rPr>
        <w:t>将备查原件放在一个资料袋中，原件资料袋可不密封，但须在资料袋上标明投标单位名称和原件清单目录。</w:t>
      </w:r>
      <w:r>
        <w:rPr>
          <w:rStyle w:val="22"/>
          <w:rFonts w:hint="eastAsia" w:ascii="仿宋_GB2312" w:hAnsi="仿宋_GB2312" w:eastAsia="仿宋_GB2312" w:cs="仿宋_GB2312"/>
          <w:kern w:val="0"/>
          <w:sz w:val="32"/>
          <w:szCs w:val="32"/>
        </w:rPr>
        <w:t>）</w:t>
      </w:r>
    </w:p>
    <w:p>
      <w:pPr>
        <w:pStyle w:val="21"/>
        <w:snapToGrid w:val="0"/>
        <w:spacing w:line="560" w:lineRule="exact"/>
        <w:rPr>
          <w:rStyle w:val="22"/>
          <w:rFonts w:ascii="仿宋_GB2312" w:hAnsi="仿宋_GB2312" w:eastAsia="仿宋_GB2312" w:cs="仿宋_GB2312"/>
          <w:szCs w:val="32"/>
        </w:rPr>
      </w:pPr>
      <w:r>
        <w:rPr>
          <w:rStyle w:val="22"/>
          <w:rFonts w:hint="eastAsia" w:ascii="仿宋_GB2312" w:hAnsi="仿宋_GB2312" w:eastAsia="仿宋_GB2312" w:cs="仿宋_GB2312"/>
          <w:szCs w:val="32"/>
        </w:rPr>
        <w:t>3、 投标文件制作要求：</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（1）投标人应按投标文件组成顺序编写、制作投标文件，并牢固装订成册。投标文件均需采用A4纸（图纸等除外）。投标文件不得行间插字、涂改、增删，如修改错漏处，须经投标文件签署人签字并加盖公章。</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lang w:val="en-GB"/>
        </w:rPr>
        <w:t>（2）</w:t>
      </w:r>
      <w:r>
        <w:rPr>
          <w:rStyle w:val="22"/>
          <w:rFonts w:hint="eastAsia" w:ascii="仿宋_GB2312" w:hAnsi="仿宋_GB2312" w:eastAsia="仿宋_GB2312" w:cs="仿宋_GB2312"/>
          <w:sz w:val="32"/>
          <w:szCs w:val="32"/>
        </w:rPr>
        <w:t>投标文件正本</w:t>
      </w:r>
      <w:r>
        <w:rPr>
          <w:rStyle w:val="22"/>
          <w:rFonts w:hint="eastAsia" w:ascii="仿宋_GB2312" w:hAnsi="仿宋_GB2312" w:eastAsia="仿宋_GB2312" w:cs="仿宋_GB2312"/>
          <w:b/>
          <w:bCs/>
          <w:sz w:val="32"/>
          <w:szCs w:val="32"/>
        </w:rPr>
        <w:t>一份</w:t>
      </w:r>
      <w:r>
        <w:rPr>
          <w:rStyle w:val="22"/>
          <w:rFonts w:hint="eastAsia" w:ascii="仿宋_GB2312" w:hAnsi="仿宋_GB2312" w:eastAsia="仿宋_GB2312" w:cs="仿宋_GB2312"/>
          <w:sz w:val="32"/>
          <w:szCs w:val="32"/>
        </w:rPr>
        <w:t>、副本叁</w:t>
      </w:r>
      <w:r>
        <w:rPr>
          <w:rStyle w:val="22"/>
          <w:rFonts w:hint="eastAsia" w:ascii="仿宋_GB2312" w:hAnsi="仿宋_GB2312" w:eastAsia="仿宋_GB2312" w:cs="仿宋_GB2312"/>
          <w:b/>
          <w:bCs/>
          <w:sz w:val="32"/>
          <w:szCs w:val="32"/>
        </w:rPr>
        <w:t>份</w:t>
      </w:r>
      <w:r>
        <w:rPr>
          <w:rStyle w:val="22"/>
          <w:rFonts w:hint="eastAsia" w:ascii="仿宋_GB2312" w:hAnsi="仿宋_GB2312" w:eastAsia="仿宋_GB2312" w:cs="仿宋_GB2312"/>
          <w:sz w:val="32"/>
          <w:szCs w:val="32"/>
        </w:rPr>
        <w:t>，在每一份投标文件上要明确标注投标人</w:t>
      </w:r>
      <w:r>
        <w:rPr>
          <w:rStyle w:val="22"/>
          <w:rFonts w:hint="eastAsia" w:ascii="仿宋_GB2312" w:hAnsi="仿宋_GB2312" w:eastAsia="仿宋_GB2312" w:cs="仿宋_GB2312"/>
          <w:sz w:val="32"/>
          <w:szCs w:val="32"/>
          <w:lang w:val="zh-CN"/>
        </w:rPr>
        <w:t>全称、</w:t>
      </w:r>
      <w:r>
        <w:rPr>
          <w:rStyle w:val="22"/>
          <w:rFonts w:hint="eastAsia" w:ascii="仿宋_GB2312" w:hAnsi="仿宋_GB2312" w:eastAsia="仿宋_GB2312" w:cs="仿宋_GB2312"/>
          <w:sz w:val="32"/>
          <w:szCs w:val="32"/>
        </w:rPr>
        <w:t>“正本”、“副本”字样。副本可以用正本复印件，一旦正本和副本内容有差异，以正本为准。</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rPr>
        <w:t>（3）</w:t>
      </w:r>
      <w:r>
        <w:rPr>
          <w:rStyle w:val="22"/>
          <w:rFonts w:hint="eastAsia" w:ascii="仿宋_GB2312" w:hAnsi="仿宋_GB2312" w:eastAsia="仿宋_GB2312" w:cs="仿宋_GB2312"/>
          <w:b/>
          <w:color w:val="FF0000"/>
          <w:sz w:val="32"/>
          <w:szCs w:val="32"/>
        </w:rPr>
        <w:t>报价一览表一份需单独另行密封</w:t>
      </w:r>
      <w:r>
        <w:rPr>
          <w:rStyle w:val="22"/>
          <w:rFonts w:hint="eastAsia" w:ascii="仿宋_GB2312" w:hAnsi="仿宋_GB2312" w:eastAsia="仿宋_GB2312" w:cs="仿宋_GB2312"/>
          <w:sz w:val="32"/>
          <w:szCs w:val="32"/>
        </w:rPr>
        <w:t>，投标报价不得出现于投标文件的正本或副本。</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（4）</w:t>
      </w:r>
      <w:r>
        <w:rPr>
          <w:rStyle w:val="22"/>
          <w:rFonts w:hint="eastAsia" w:ascii="仿宋_GB2312" w:hAnsi="仿宋_GB2312" w:eastAsia="仿宋_GB2312" w:cs="仿宋_GB2312"/>
          <w:sz w:val="32"/>
          <w:szCs w:val="32"/>
        </w:rPr>
        <w:t>投标文件正本须打印并由法定代表人或授权代表签字并每页加盖单位公章，副本可复印。</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（5）投标人应将本项目投标文件密封。</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（6）所有密封文件封套正面须标明项目名称、投标单位名称、边缝处加盖单位骑缝章或骑缝签字，并注明于开标前不得启封。如果投标供应商未加写标记，招标方对投标文件的误投和提前启封不负责任。</w:t>
      </w:r>
    </w:p>
    <w:p>
      <w:pPr>
        <w:pStyle w:val="21"/>
        <w:snapToGrid w:val="0"/>
        <w:spacing w:line="560" w:lineRule="exact"/>
        <w:rPr>
          <w:rStyle w:val="22"/>
          <w:rFonts w:ascii="仿宋_GB2312" w:hAnsi="仿宋_GB2312" w:eastAsia="仿宋_GB2312" w:cs="仿宋_GB2312"/>
          <w:szCs w:val="32"/>
        </w:rPr>
      </w:pPr>
      <w:r>
        <w:rPr>
          <w:rStyle w:val="22"/>
          <w:rFonts w:hint="eastAsia" w:ascii="仿宋_GB2312" w:hAnsi="仿宋_GB2312" w:eastAsia="仿宋_GB2312" w:cs="仿宋_GB2312"/>
          <w:szCs w:val="32"/>
        </w:rPr>
        <w:t>4、 投标报价</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（1）本项目投标报价按营业额计算，结算比例为营业额的</w:t>
      </w:r>
      <w:r>
        <w:rPr>
          <w:rStyle w:val="22"/>
          <w:rFonts w:hint="eastAsia" w:ascii="仿宋_GB2312" w:hAnsi="仿宋_GB2312" w:eastAsia="仿宋_GB2312" w:cs="仿宋_GB2312"/>
          <w:sz w:val="32"/>
          <w:szCs w:val="32"/>
        </w:rPr>
        <w:t>85</w:t>
      </w:r>
      <w:r>
        <w:rPr>
          <w:rStyle w:val="22"/>
          <w:rFonts w:hint="eastAsia" w:ascii="仿宋_GB2312" w:hAnsi="仿宋_GB2312" w:eastAsia="仿宋_GB2312" w:cs="仿宋_GB2312"/>
          <w:sz w:val="32"/>
          <w:szCs w:val="32"/>
          <w:lang w:val="en-GB"/>
        </w:rPr>
        <w:t>%，投标报价高于限价的视为无效报价。报价需包含合作期内，经营过程中的商品、设施设备、现场改造与恢复、装修装潢、运输费、搬运费、税费等相关一切费用均由中标人承担。合作期内，机关超市的房租、水电费、委派人员（2名）工资由招标人承担。请各供应商在报价时请充分考虑各种因素。</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（2）投标方免费提供的项目，也应报价并注明免费，不计入报价总价。</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（3）投标人应对招标文件内所要采购的全部内容进行报价，只投其中部分内容者，视为无效投标。</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（4）本项目将进行现场最终报价，请做好现场报价的准备。</w:t>
      </w:r>
    </w:p>
    <w:p>
      <w:pPr>
        <w:pStyle w:val="21"/>
        <w:snapToGrid w:val="0"/>
        <w:spacing w:line="560" w:lineRule="exact"/>
        <w:rPr>
          <w:rStyle w:val="22"/>
          <w:rFonts w:ascii="仿宋_GB2312" w:hAnsi="仿宋_GB2312" w:eastAsia="仿宋_GB2312" w:cs="仿宋_GB2312"/>
          <w:b w:val="0"/>
          <w:szCs w:val="32"/>
          <w:lang w:val="en-GB"/>
        </w:rPr>
      </w:pPr>
      <w:r>
        <w:rPr>
          <w:rStyle w:val="22"/>
          <w:rFonts w:hint="eastAsia" w:ascii="仿宋_GB2312" w:hAnsi="仿宋_GB2312" w:eastAsia="仿宋_GB2312" w:cs="仿宋_GB2312"/>
          <w:szCs w:val="32"/>
        </w:rPr>
        <w:t>5、</w:t>
      </w:r>
      <w:r>
        <w:rPr>
          <w:rStyle w:val="22"/>
          <w:rFonts w:hint="eastAsia" w:ascii="仿宋_GB2312" w:hAnsi="仿宋_GB2312" w:eastAsia="仿宋_GB2312" w:cs="仿宋_GB2312"/>
          <w:szCs w:val="32"/>
          <w:lang w:val="en-GB"/>
        </w:rPr>
        <w:t>履约</w:t>
      </w:r>
      <w:r>
        <w:rPr>
          <w:rStyle w:val="22"/>
          <w:rFonts w:hint="eastAsia" w:ascii="仿宋_GB2312" w:hAnsi="仿宋_GB2312" w:eastAsia="仿宋_GB2312" w:cs="仿宋_GB2312"/>
          <w:color w:val="000000"/>
          <w:szCs w:val="32"/>
        </w:rPr>
        <w:t>保证金</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履约保证金为人民币100000元，在领取中标通知书前汇到招标人指定账户，合同期结束后一个月内无息退还。</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公司名称：南通市创聚商贸有限公司</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银行账号：10722901040003556</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开户行：农业银行海门城南支行</w:t>
      </w:r>
    </w:p>
    <w:p>
      <w:pPr>
        <w:keepNext/>
        <w:keepLines/>
        <w:widowControl w:val="0"/>
        <w:numPr>
          <w:ilvl w:val="0"/>
          <w:numId w:val="1"/>
        </w:numPr>
        <w:spacing w:before="120" w:after="120" w:line="560" w:lineRule="exact"/>
        <w:textAlignment w:val="auto"/>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w:t>
      </w:r>
      <w:r>
        <w:rPr>
          <w:rFonts w:hint="eastAsia" w:ascii="仿宋_GB2312" w:hAnsi="仿宋_GB2312" w:eastAsia="仿宋_GB2312" w:cs="仿宋_GB2312"/>
          <w:b/>
          <w:sz w:val="32"/>
          <w:szCs w:val="32"/>
          <w:lang w:val="en-GB"/>
        </w:rPr>
        <w:t>有效期：</w:t>
      </w:r>
      <w:r>
        <w:rPr>
          <w:rFonts w:hint="eastAsia" w:ascii="仿宋_GB2312" w:hAnsi="仿宋_GB2312" w:eastAsia="仿宋_GB2312" w:cs="仿宋_GB2312"/>
          <w:sz w:val="32"/>
          <w:szCs w:val="32"/>
          <w:lang w:val="en-GB"/>
        </w:rPr>
        <w:t>投标文件从开标之日起，投标有效期为</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GB"/>
        </w:rPr>
        <w:t>0个工作日。</w:t>
      </w:r>
    </w:p>
    <w:p>
      <w:pPr>
        <w:pStyle w:val="20"/>
        <w:snapToGrid w:val="0"/>
        <w:spacing w:line="560" w:lineRule="exact"/>
        <w:rPr>
          <w:rStyle w:val="22"/>
          <w:rFonts w:ascii="黑体" w:hAnsi="黑体" w:eastAsia="黑体" w:cs="黑体"/>
          <w:b w:val="0"/>
          <w:bCs/>
          <w:sz w:val="32"/>
          <w:szCs w:val="32"/>
          <w:lang w:val="en-GB"/>
        </w:rPr>
      </w:pPr>
      <w:r>
        <w:rPr>
          <w:rStyle w:val="22"/>
          <w:rFonts w:hint="eastAsia" w:ascii="黑体" w:hAnsi="黑体" w:eastAsia="黑体" w:cs="黑体"/>
          <w:b w:val="0"/>
          <w:bCs/>
          <w:sz w:val="32"/>
          <w:szCs w:val="32"/>
          <w:lang w:val="en-GB"/>
        </w:rPr>
        <w:t>四、投标文件的递交</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1、招标方于开标地点在</w:t>
      </w:r>
      <w:r>
        <w:rPr>
          <w:rStyle w:val="22"/>
          <w:rFonts w:hint="eastAsia" w:ascii="仿宋_GB2312" w:hAnsi="仿宋_GB2312" w:eastAsia="仿宋_GB2312" w:cs="仿宋_GB2312"/>
          <w:sz w:val="32"/>
          <w:szCs w:val="32"/>
          <w:u w:val="single" w:color="000000"/>
          <w:lang w:val="en-GB"/>
        </w:rPr>
        <w:t>投标截止时间前半小时内接受标书</w:t>
      </w:r>
      <w:r>
        <w:rPr>
          <w:rStyle w:val="22"/>
          <w:rFonts w:hint="eastAsia" w:ascii="仿宋_GB2312" w:hAnsi="仿宋_GB2312" w:eastAsia="仿宋_GB2312" w:cs="仿宋_GB2312"/>
          <w:sz w:val="32"/>
          <w:szCs w:val="32"/>
          <w:lang w:val="en-GB"/>
        </w:rPr>
        <w:t>。</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rPr>
        <w:t>2、</w:t>
      </w:r>
      <w:r>
        <w:rPr>
          <w:rStyle w:val="22"/>
          <w:rFonts w:hint="eastAsia" w:ascii="仿宋_GB2312" w:hAnsi="仿宋_GB2312" w:eastAsia="仿宋_GB2312" w:cs="仿宋_GB2312"/>
          <w:sz w:val="32"/>
          <w:szCs w:val="32"/>
          <w:lang w:val="en-GB"/>
        </w:rPr>
        <w:t>投标人</w:t>
      </w:r>
      <w:r>
        <w:rPr>
          <w:rStyle w:val="22"/>
          <w:rFonts w:hint="eastAsia" w:ascii="仿宋_GB2312" w:hAnsi="仿宋_GB2312" w:eastAsia="仿宋_GB2312" w:cs="仿宋_GB2312"/>
          <w:sz w:val="32"/>
          <w:szCs w:val="32"/>
        </w:rPr>
        <w:t>递交投标文件的方式为专人当面递交的方式。</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rPr>
        <w:t>3</w:t>
      </w:r>
      <w:r>
        <w:rPr>
          <w:rStyle w:val="22"/>
          <w:rFonts w:hint="eastAsia" w:ascii="仿宋_GB2312" w:hAnsi="仿宋_GB2312" w:eastAsia="仿宋_GB2312" w:cs="仿宋_GB2312"/>
          <w:sz w:val="32"/>
          <w:szCs w:val="32"/>
          <w:lang w:val="en-GB"/>
        </w:rPr>
        <w:t>、招标方将拒绝接收递交时间、密封情况等不符合要求的投标文件。</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4、投标文件填写字迹必须清楚、工整，对不同文字文本投标文件的解释发生异议的，以中文文本为准。</w:t>
      </w:r>
    </w:p>
    <w:p>
      <w:pPr>
        <w:pStyle w:val="20"/>
        <w:snapToGrid w:val="0"/>
        <w:spacing w:line="560" w:lineRule="exact"/>
        <w:rPr>
          <w:rStyle w:val="22"/>
          <w:rFonts w:ascii="黑体" w:hAnsi="黑体" w:eastAsia="黑体" w:cs="黑体"/>
          <w:b w:val="0"/>
          <w:bCs/>
          <w:sz w:val="32"/>
          <w:szCs w:val="32"/>
          <w:lang w:val="en-GB"/>
        </w:rPr>
      </w:pPr>
      <w:r>
        <w:rPr>
          <w:rStyle w:val="22"/>
          <w:rFonts w:hint="eastAsia" w:ascii="黑体" w:hAnsi="黑体" w:eastAsia="黑体" w:cs="黑体"/>
          <w:b w:val="0"/>
          <w:bCs/>
          <w:sz w:val="32"/>
          <w:szCs w:val="32"/>
          <w:lang w:val="en-GB"/>
        </w:rPr>
        <w:t>五、无效投标的情形</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发生下列情况之一的投标文件被视为无效：</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1．投标报价超出项目最高限价的；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2．由于包装不妥，在送交途中严重破损或失散的投标文件；</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3．未按照招标文件要求盖章、</w:t>
      </w:r>
      <w:r>
        <w:rPr>
          <w:rStyle w:val="22"/>
          <w:rFonts w:hint="eastAsia" w:ascii="仿宋_GB2312" w:hAnsi="仿宋_GB2312" w:eastAsia="仿宋_GB2312" w:cs="仿宋_GB2312"/>
          <w:sz w:val="32"/>
          <w:szCs w:val="32"/>
        </w:rPr>
        <w:t>签署姓名</w:t>
      </w:r>
      <w:r>
        <w:rPr>
          <w:rStyle w:val="22"/>
          <w:rFonts w:hint="eastAsia" w:ascii="仿宋_GB2312" w:hAnsi="仿宋_GB2312" w:eastAsia="仿宋_GB2312" w:cs="仿宋_GB2312"/>
          <w:sz w:val="32"/>
          <w:szCs w:val="32"/>
          <w:lang w:val="en-GB"/>
        </w:rPr>
        <w:t>；未装订或未按照招标文件规定的数量进行制作、未按照招标文件规定要求密封；投标承诺函、法定代表人授权书等有涂改的；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4．未能提供合格的资格文件；</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5．投标人未对招标文件内所要采购的全部内容进行报价的；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6．与招标文件有重大偏离的或未能实质性响应技术商务要求的；</w:t>
      </w:r>
    </w:p>
    <w:p>
      <w:pPr>
        <w:pStyle w:val="18"/>
        <w:snapToGrid w:val="0"/>
        <w:spacing w:line="560" w:lineRule="exact"/>
        <w:ind w:firstLine="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 xml:space="preserve"> 7.质保期不满足招标文件要求的；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8．投标保证金未按规定交纳或不足的；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9．开标时投标供应商授权代表未到开标现场或授权代表不能提供相应身份证明的；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10．投标供应商在投标活动中提供任何虚假材料或从事其他违法活动的；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11．评标委员会认为其他不合理情况的；</w:t>
      </w:r>
    </w:p>
    <w:p>
      <w:pPr>
        <w:snapToGrid w:val="0"/>
        <w:spacing w:line="560" w:lineRule="exact"/>
        <w:ind w:left="-360" w:firstLine="640" w:firstLineChars="200"/>
        <w:rPr>
          <w:rStyle w:val="22"/>
          <w:rFonts w:ascii="仿宋_GB2312" w:hAnsi="仿宋_GB2312" w:eastAsia="仿宋_GB2312" w:cs="仿宋_GB2312"/>
          <w:sz w:val="32"/>
          <w:szCs w:val="32"/>
          <w:lang w:val="en-GB"/>
        </w:rPr>
      </w:pPr>
      <w:r>
        <w:rPr>
          <w:rStyle w:val="22"/>
          <w:rFonts w:hint="eastAsia" w:ascii="仿宋_GB2312" w:hAnsi="仿宋_GB2312" w:eastAsia="仿宋_GB2312" w:cs="仿宋_GB2312"/>
          <w:sz w:val="32"/>
          <w:szCs w:val="32"/>
          <w:lang w:val="en-GB"/>
        </w:rPr>
        <w:t>12．不符合法律、法规和本招标文件规定的其他实质性要求的。</w:t>
      </w:r>
    </w:p>
    <w:p>
      <w:pPr>
        <w:snapToGrid w:val="0"/>
        <w:spacing w:line="560" w:lineRule="exact"/>
        <w:ind w:left="-360" w:firstLine="640" w:firstLineChars="200"/>
        <w:jc w:val="center"/>
        <w:rPr>
          <w:rStyle w:val="22"/>
          <w:rFonts w:ascii="黑体" w:hAnsi="黑体" w:eastAsia="黑体" w:cs="黑体"/>
          <w:bCs/>
          <w:sz w:val="32"/>
          <w:szCs w:val="32"/>
          <w:lang w:val="en-GB"/>
        </w:rPr>
      </w:pPr>
      <w:r>
        <w:rPr>
          <w:rStyle w:val="22"/>
          <w:rFonts w:hint="eastAsia" w:ascii="黑体" w:hAnsi="黑体" w:eastAsia="黑体" w:cs="黑体"/>
          <w:bCs/>
          <w:sz w:val="32"/>
          <w:szCs w:val="32"/>
          <w:lang w:val="en-GB"/>
        </w:rPr>
        <w:t>六、变更为其他方式采购的情形</w:t>
      </w:r>
    </w:p>
    <w:p>
      <w:pPr>
        <w:snapToGrid w:val="0"/>
        <w:spacing w:line="560" w:lineRule="exact"/>
        <w:ind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rPr>
        <w:t>投标截止时间出现如下情形的：参加投标的供应商不足3家的，或者评标中出现符合专业条件的供应商或对招标文件作实质响应的投标人不足3家的，除采购任务取消外，招标人应报告招标人纪委部门，视情采取其他方式采购。</w:t>
      </w:r>
      <w:r>
        <w:rPr>
          <w:rStyle w:val="22"/>
          <w:rFonts w:hint="eastAsia" w:ascii="仿宋_GB2312" w:hAnsi="仿宋_GB2312" w:eastAsia="仿宋_GB2312" w:cs="仿宋_GB2312"/>
          <w:sz w:val="32"/>
          <w:szCs w:val="32"/>
          <w:lang w:val="zh-CN"/>
        </w:rPr>
        <w:t>本次招标文件中对供应商资质、技术等要求，将作为</w:t>
      </w:r>
      <w:r>
        <w:rPr>
          <w:rStyle w:val="22"/>
          <w:rFonts w:hint="eastAsia" w:ascii="仿宋_GB2312" w:hAnsi="仿宋_GB2312" w:eastAsia="仿宋_GB2312" w:cs="仿宋_GB2312"/>
          <w:sz w:val="32"/>
          <w:szCs w:val="32"/>
        </w:rPr>
        <w:t>其他</w:t>
      </w:r>
      <w:r>
        <w:rPr>
          <w:rStyle w:val="22"/>
          <w:rFonts w:hint="eastAsia" w:ascii="仿宋_GB2312" w:hAnsi="仿宋_GB2312" w:eastAsia="仿宋_GB2312" w:cs="仿宋_GB2312"/>
          <w:sz w:val="32"/>
          <w:szCs w:val="32"/>
          <w:lang w:val="zh-CN"/>
        </w:rPr>
        <w:t>方式采购的基本要求和依据。原已经参加投标并符合要求的供应商，根据自愿原则，参加</w:t>
      </w:r>
      <w:r>
        <w:rPr>
          <w:rStyle w:val="22"/>
          <w:rFonts w:hint="eastAsia" w:ascii="仿宋_GB2312" w:hAnsi="仿宋_GB2312" w:eastAsia="仿宋_GB2312" w:cs="仿宋_GB2312"/>
          <w:sz w:val="32"/>
          <w:szCs w:val="32"/>
        </w:rPr>
        <w:t>其他</w:t>
      </w:r>
      <w:r>
        <w:rPr>
          <w:rStyle w:val="22"/>
          <w:rFonts w:hint="eastAsia" w:ascii="仿宋_GB2312" w:hAnsi="仿宋_GB2312" w:eastAsia="仿宋_GB2312" w:cs="仿宋_GB2312"/>
          <w:sz w:val="32"/>
          <w:szCs w:val="32"/>
          <w:lang w:val="zh-CN"/>
        </w:rPr>
        <w:t>方式招标。</w:t>
      </w:r>
    </w:p>
    <w:p>
      <w:pPr>
        <w:snapToGrid w:val="0"/>
        <w:spacing w:line="560" w:lineRule="exact"/>
        <w:rPr>
          <w:rStyle w:val="22"/>
          <w:rFonts w:ascii="仿宋_GB2312" w:hAnsi="仿宋_GB2312" w:eastAsia="仿宋_GB2312" w:cs="仿宋_GB2312"/>
          <w:b/>
          <w:bCs/>
          <w:sz w:val="32"/>
          <w:szCs w:val="32"/>
        </w:rPr>
      </w:pPr>
    </w:p>
    <w:p>
      <w:pPr>
        <w:snapToGrid w:val="0"/>
        <w:spacing w:line="560" w:lineRule="exact"/>
        <w:jc w:val="center"/>
        <w:rPr>
          <w:rStyle w:val="22"/>
          <w:rFonts w:ascii="宋体" w:hAnsi="宋体" w:cs="宋体"/>
          <w:b/>
          <w:bCs/>
          <w:sz w:val="44"/>
          <w:szCs w:val="44"/>
        </w:rPr>
      </w:pPr>
    </w:p>
    <w:p>
      <w:pPr>
        <w:snapToGrid w:val="0"/>
        <w:spacing w:line="560" w:lineRule="exact"/>
        <w:jc w:val="center"/>
        <w:rPr>
          <w:rStyle w:val="22"/>
          <w:rFonts w:ascii="方正小标宋_GBK" w:hAnsi="方正小标宋_GBK" w:eastAsia="方正小标宋_GBK" w:cs="方正小标宋_GBK"/>
          <w:sz w:val="44"/>
          <w:szCs w:val="44"/>
        </w:rPr>
      </w:pPr>
      <w:r>
        <w:rPr>
          <w:rStyle w:val="22"/>
          <w:rFonts w:hint="eastAsia" w:ascii="方正小标宋_GBK" w:hAnsi="方正小标宋_GBK" w:eastAsia="方正小标宋_GBK" w:cs="方正小标宋_GBK"/>
          <w:sz w:val="44"/>
          <w:szCs w:val="44"/>
        </w:rPr>
        <w:t>第四部分   评审方法和程序</w:t>
      </w:r>
    </w:p>
    <w:p>
      <w:pPr>
        <w:snapToGrid w:val="0"/>
        <w:spacing w:line="560" w:lineRule="exact"/>
        <w:ind w:firstLine="640" w:firstLineChars="200"/>
        <w:rPr>
          <w:rStyle w:val="22"/>
          <w:rFonts w:ascii="楷体" w:hAnsi="楷体" w:eastAsia="楷体" w:cs="楷体"/>
          <w:bCs/>
          <w:sz w:val="32"/>
          <w:szCs w:val="32"/>
        </w:rPr>
      </w:pPr>
      <w:r>
        <w:rPr>
          <w:rStyle w:val="22"/>
          <w:rFonts w:hint="eastAsia" w:ascii="楷体" w:hAnsi="楷体" w:eastAsia="楷体" w:cs="楷体"/>
          <w:bCs/>
          <w:sz w:val="32"/>
          <w:szCs w:val="32"/>
        </w:rPr>
        <w:t>一、采购代理机构组织磋商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本次竞争性磋商依据《中华人民共和国政府采购法》、《政府采购竞争性磋商采购方式管理暂行办法》及有关法规成立磋商小组。磋商小组由采购人代表和评审专家共3人及以上单数组成，其中评审专家人数不得少于磋商小组成员总数的2/3。</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3、项目响应供应商的法定代表人或受权人须持身份证准时参加磋商评审会。</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二、磋商小组的职责</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磋商小组负责具体的磋商评审事务，并履行以下职责：</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1、审查磋商响应文件是否符合磋商文件的要求，并做出评价；</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2、可以要求供应商对磋商响应文件内的有关事项做出解释或澄清；</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3、推荐中标候选人或按次序排列的中标候选人名单；</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4、磋商小组成员应当履行下列义务：</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（1）遵纪守法，客观、公正、廉洁地履行职责；</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（2）磋商小组成员应当按照客观、公正、审慎的原则，根据磋商文件规定的评审程序、评审方法和评审标准进行独立评审；</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（3）磋商小组成员应当遵守评审工作纪律，不得泄露磋商评审情况和磋商评审中获悉的商业秘密，对个人的评审意见承担法律责任；</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（4）磋商评审程序中的有关记录由磋商小组成员签名，存档备查；</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（5）磋商小组成员在评审过程中发现供应商有行贿、提供虚假材料或者串通等违法行为的，应当及时向财政部门报告；</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（6）磋商小组成员在磋商评审过程中受到非法干涉的，应当及时向财政、监察等部门举报；</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（7）磋商小组成员有义务及责任配合采购人答复供应商提出的质疑，配合财政部门的投诉处理和监督检查工作。</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露；</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6、在磋商响应文件的评审、澄清、评价和比较以及授予合同的过程中，供应商对采购人和磋商小组成员有施加影响的任何行为，都将取消其中标资格。</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三、磋商原则及方法</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1、磋商小组依据《中华人民共和国政府采购法》、《政府采购竞争性磋商采购方式管理暂行办法》以及有关政府采购的相关法规，遵循“公开、公平、公正、择优、信用”的原则进行磋商评审。</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2、磋商小组将按照竞争性磋商文件的规定，只对资格审查合格的供应商的磋商响应文件进行评审和比较。</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3、磋商小组根据磋商文件规定的程序、评定成交的标准等事项与实质性响应磋商文件要求的供应商进行磋商。未实质性响应磋商文件要求的磋商响应文件按无效处理，磋商小组应当告知提交响应文件的供应商。</w:t>
      </w:r>
    </w:p>
    <w:p>
      <w:pPr>
        <w:snapToGrid w:val="0"/>
        <w:spacing w:line="560" w:lineRule="exact"/>
        <w:ind w:firstLine="646" w:firstLineChars="202"/>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4、磋商小组所有成员应当集中与单一供应商分别进行磋商，并给予所有参加磋商的供应商平等的磋商机会。</w:t>
      </w:r>
    </w:p>
    <w:p>
      <w:pPr>
        <w:snapToGrid w:val="0"/>
        <w:spacing w:line="560" w:lineRule="exact"/>
        <w:ind w:firstLine="646" w:firstLineChars="202"/>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5、在磋商过程中，磋商小组可以根据磋商文件和磋商情况实质性变动采购需求中的技术、服务要求以及合同草案条款，但不得变动磋商文件中的其他内容。实质性变动的内容，须经采购人代表确认。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560" w:lineRule="exact"/>
        <w:ind w:firstLine="646" w:firstLineChars="202"/>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6、对磋商文件作出的实质性变动是磋商文件的有效组成部分，磋商小组应当及时以书面形式同时通知所有参加磋商的供应商。</w:t>
      </w:r>
    </w:p>
    <w:p>
      <w:pPr>
        <w:snapToGrid w:val="0"/>
        <w:spacing w:line="560" w:lineRule="exact"/>
        <w:ind w:firstLine="646" w:firstLineChars="202"/>
        <w:jc w:val="left"/>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7、供应商应当按照磋商文件的变动情况和磋商小组的要求重新提交响应文件，并由其法定代表人或委托代理人签字或者加盖公章。由委托代理人签字的，应当附法定代表人授权书。供应商为自然人的，应当由本人签字并附身份证明。</w:t>
      </w:r>
    </w:p>
    <w:p>
      <w:pPr>
        <w:snapToGrid w:val="0"/>
        <w:spacing w:line="560" w:lineRule="exact"/>
        <w:ind w:firstLine="646" w:firstLineChars="202"/>
        <w:rPr>
          <w:rStyle w:val="22"/>
          <w:rFonts w:ascii="方正仿宋_GBK" w:hAnsi="方正仿宋_GBK" w:eastAsia="方正仿宋_GBK" w:cs="方正仿宋_GBK"/>
          <w:sz w:val="32"/>
          <w:szCs w:val="32"/>
        </w:rPr>
      </w:pPr>
      <w:r>
        <w:rPr>
          <w:rStyle w:val="22"/>
          <w:rFonts w:hint="eastAsia" w:ascii="方正仿宋_GBK" w:hAnsi="方正仿宋_GBK" w:eastAsia="方正仿宋_GBK" w:cs="方正仿宋_GBK"/>
          <w:sz w:val="32"/>
          <w:szCs w:val="32"/>
        </w:rPr>
        <w:t>8、经磋商确定最终采购需求和提交最后报价的供应商：</w:t>
      </w:r>
    </w:p>
    <w:tbl>
      <w:tblPr>
        <w:tblStyle w:val="11"/>
        <w:tblW w:w="88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8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序号</w:t>
            </w:r>
          </w:p>
        </w:tc>
        <w:tc>
          <w:tcPr>
            <w:tcW w:w="809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60" w:lineRule="exact"/>
              <w:jc w:val="center"/>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1</w:t>
            </w:r>
          </w:p>
        </w:tc>
        <w:tc>
          <w:tcPr>
            <w:tcW w:w="809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60" w:lineRule="exact"/>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企业</w:t>
            </w:r>
            <w:r>
              <w:rPr>
                <w:rStyle w:val="22"/>
                <w:rFonts w:hint="eastAsia" w:ascii="仿宋_GB2312" w:hAnsi="仿宋_GB2312" w:eastAsia="仿宋_GB2312" w:cs="仿宋_GB2312"/>
                <w:bCs/>
                <w:sz w:val="32"/>
                <w:szCs w:val="32"/>
                <w:lang w:val="en-GB"/>
              </w:rPr>
              <w:t>实力与信誉</w:t>
            </w:r>
            <w:r>
              <w:rPr>
                <w:rStyle w:val="22"/>
                <w:rFonts w:hint="eastAsia" w:ascii="仿宋_GB2312" w:hAnsi="仿宋_GB2312" w:eastAsia="仿宋_GB2312" w:cs="仿宋_GB2312"/>
                <w:kern w:val="0"/>
                <w:sz w:val="32"/>
                <w:szCs w:val="32"/>
              </w:rPr>
              <w:t>与磋商文件要求的符合度，是否可列入最后报价；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60" w:lineRule="exact"/>
              <w:jc w:val="center"/>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2</w:t>
            </w:r>
          </w:p>
        </w:tc>
        <w:tc>
          <w:tcPr>
            <w:tcW w:w="809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60" w:lineRule="exact"/>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磋商响应的</w:t>
            </w:r>
            <w:r>
              <w:rPr>
                <w:rStyle w:val="22"/>
                <w:rFonts w:hint="eastAsia" w:ascii="仿宋_GB2312" w:hAnsi="仿宋_GB2312" w:eastAsia="仿宋_GB2312" w:cs="仿宋_GB2312"/>
                <w:bCs/>
                <w:sz w:val="32"/>
                <w:szCs w:val="32"/>
                <w:lang w:val="en-GB"/>
              </w:rPr>
              <w:t>供货及安装工期、质保期</w:t>
            </w:r>
            <w:r>
              <w:rPr>
                <w:rStyle w:val="22"/>
                <w:rFonts w:hint="eastAsia" w:ascii="仿宋_GB2312" w:hAnsi="仿宋_GB2312" w:eastAsia="仿宋_GB2312" w:cs="仿宋_GB2312"/>
                <w:kern w:val="0"/>
                <w:sz w:val="32"/>
                <w:szCs w:val="32"/>
              </w:rPr>
              <w:t>与磋商文件要求的符合度，是否可列入最后报价；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60" w:lineRule="exact"/>
              <w:jc w:val="center"/>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3</w:t>
            </w:r>
          </w:p>
        </w:tc>
        <w:tc>
          <w:tcPr>
            <w:tcW w:w="809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磋商响应的</w:t>
            </w:r>
            <w:r>
              <w:rPr>
                <w:rStyle w:val="22"/>
                <w:rFonts w:hint="eastAsia" w:ascii="仿宋_GB2312" w:hAnsi="仿宋_GB2312" w:eastAsia="仿宋_GB2312" w:cs="仿宋_GB2312"/>
                <w:bCs/>
                <w:sz w:val="32"/>
                <w:szCs w:val="32"/>
              </w:rPr>
              <w:t>服务承诺</w:t>
            </w:r>
            <w:r>
              <w:rPr>
                <w:rStyle w:val="22"/>
                <w:rFonts w:hint="eastAsia" w:ascii="仿宋_GB2312" w:hAnsi="仿宋_GB2312" w:eastAsia="仿宋_GB2312" w:cs="仿宋_GB2312"/>
                <w:kern w:val="0"/>
                <w:sz w:val="32"/>
                <w:szCs w:val="32"/>
              </w:rPr>
              <w:t>与磋商文件要求的符合度，是否可列入最后报价；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60" w:lineRule="exact"/>
              <w:jc w:val="center"/>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4</w:t>
            </w:r>
          </w:p>
        </w:tc>
        <w:tc>
          <w:tcPr>
            <w:tcW w:w="809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60" w:lineRule="exact"/>
              <w:rPr>
                <w:rStyle w:val="22"/>
                <w:rFonts w:ascii="仿宋_GB2312" w:hAnsi="仿宋_GB2312" w:eastAsia="仿宋_GB2312" w:cs="仿宋_GB2312"/>
                <w:kern w:val="0"/>
                <w:sz w:val="32"/>
                <w:szCs w:val="32"/>
              </w:rPr>
            </w:pPr>
            <w:r>
              <w:rPr>
                <w:rStyle w:val="22"/>
                <w:rFonts w:hint="eastAsia" w:ascii="仿宋_GB2312" w:hAnsi="仿宋_GB2312" w:eastAsia="仿宋_GB2312" w:cs="仿宋_GB2312"/>
                <w:kern w:val="0"/>
                <w:sz w:val="32"/>
                <w:szCs w:val="32"/>
              </w:rPr>
              <w:t>磋商文件所要求的其它技术条款的响应是否满足磋商文件的要求，是否可列入最后报价；</w:t>
            </w:r>
          </w:p>
        </w:tc>
      </w:tr>
    </w:tbl>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磋商结束后，磋商小组应当要求所有实质性响应的供应商在规定时间内提交最后报价，提交最后报价的供应商不得少于3家。</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9、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最后报价。</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10、采用竞争性磋商采购方式采购的政府购买货物项目（含政府和社会资本合作项目），在采购过程中符合要求的供应商（社会资本）只有2家的，竞争性磋商采购活动可以继续进行且提交最后报价的供应商可以为2家。</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11.最后报价是供应商响应文件的有效组成部分。符合“市场竞争不充分的科研项目，以及需要扶持的科技成果转化项目”情形的项目，提交最后报价的供应商可以为2家。</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12、除非在磋商中磋商小组对采购人需求内容作了调整增加，或对采购内容作了实质性变更，否则采购人不接受供应商高于自己前一轮的磋商报价。</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13、已提交响应文件的供应商，在提交最后报价之前，可以根据磋商情况退出磋商。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14、在磋商中，磋商的任何一方不得透露与磋商有关的其他响应磋商的供应商的技术资料、价格及其他信息。</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15、凡两家或以上公司同一法人代表或其中一家公司为另一家公司单一最大股东的，不能同时参与同一采购项目相同标段的磋商采购活动，一经发现，将视同串标处理。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以无效报价处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17、商务报价磋商响应评审内容包括分析总报价（首次）及各个分项报价是否合理，报价范围是否完整，有无重大错漏项及是否完全符合商务付款方式要求。如果供应商的响应报价中有漏项，且漏项构成未实质性响应磋商文件要求的，按无效磋商处理。</w:t>
      </w:r>
    </w:p>
    <w:p>
      <w:pPr>
        <w:snapToGrid w:val="0"/>
        <w:spacing w:line="560" w:lineRule="exact"/>
        <w:ind w:firstLine="646" w:firstLineChars="202"/>
        <w:rPr>
          <w:rStyle w:val="22"/>
          <w:rFonts w:ascii="宋体" w:hAnsi="宋体"/>
          <w:b/>
          <w:sz w:val="24"/>
          <w:szCs w:val="24"/>
        </w:rPr>
      </w:pPr>
      <w:r>
        <w:rPr>
          <w:rStyle w:val="22"/>
          <w:rFonts w:hint="eastAsia" w:ascii="仿宋_GB2312" w:hAnsi="仿宋_GB2312" w:eastAsia="仿宋_GB2312" w:cs="仿宋_GB2312"/>
          <w:sz w:val="32"/>
          <w:szCs w:val="32"/>
        </w:rPr>
        <w:t>18、供应商的磋商响应报价未完全响应商务付款方式要求，则按无效磋商处理。</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四、磋商评定结果的方法</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经磋商</w:t>
      </w:r>
      <w:r>
        <w:rPr>
          <w:rStyle w:val="22"/>
          <w:rFonts w:hint="eastAsia" w:ascii="仿宋_GB2312" w:hAnsi="仿宋_GB2312" w:eastAsia="仿宋_GB2312" w:cs="仿宋_GB2312"/>
          <w:sz w:val="32"/>
          <w:szCs w:val="32"/>
          <w:u w:val="single" w:color="000000"/>
        </w:rPr>
        <w:t>确定最终采购需求和提交最后报价的供应商</w:t>
      </w:r>
      <w:r>
        <w:rPr>
          <w:rStyle w:val="22"/>
          <w:rFonts w:hint="eastAsia" w:ascii="仿宋_GB2312" w:hAnsi="仿宋_GB2312" w:eastAsia="仿宋_GB2312" w:cs="仿宋_GB2312"/>
          <w:sz w:val="32"/>
          <w:szCs w:val="32"/>
        </w:rPr>
        <w:t>后，由磋商小组采用</w:t>
      </w:r>
      <w:r>
        <w:rPr>
          <w:rStyle w:val="22"/>
          <w:rFonts w:hint="eastAsia" w:ascii="仿宋_GB2312" w:hAnsi="仿宋_GB2312" w:eastAsia="仿宋_GB2312" w:cs="仿宋_GB2312"/>
          <w:sz w:val="32"/>
          <w:szCs w:val="32"/>
          <w:u w:val="single" w:color="000000"/>
        </w:rPr>
        <w:t>综合评分法</w:t>
      </w:r>
      <w:r>
        <w:rPr>
          <w:rStyle w:val="22"/>
          <w:rFonts w:hint="eastAsia" w:ascii="仿宋_GB2312" w:hAnsi="仿宋_GB2312" w:eastAsia="仿宋_GB2312" w:cs="仿宋_GB2312"/>
          <w:sz w:val="32"/>
          <w:szCs w:val="32"/>
        </w:rPr>
        <w:t>对响应文件满足磋商文件全部实质性要求的</w:t>
      </w:r>
      <w:r>
        <w:rPr>
          <w:rStyle w:val="22"/>
          <w:rFonts w:hint="eastAsia" w:ascii="仿宋_GB2312" w:hAnsi="仿宋_GB2312" w:eastAsia="仿宋_GB2312" w:cs="仿宋_GB2312"/>
          <w:sz w:val="32"/>
          <w:szCs w:val="32"/>
          <w:u w:val="single" w:color="000000"/>
        </w:rPr>
        <w:t>提交最后报价的供应商</w:t>
      </w:r>
      <w:r>
        <w:rPr>
          <w:rStyle w:val="22"/>
          <w:rFonts w:hint="eastAsia" w:ascii="仿宋_GB2312" w:hAnsi="仿宋_GB2312" w:eastAsia="仿宋_GB2312" w:cs="仿宋_GB2312"/>
          <w:sz w:val="32"/>
          <w:szCs w:val="32"/>
        </w:rPr>
        <w:t>的响应文件和最后报价，按评审因素的量化指标进行评审，得分最高的供应商为中标候选供应商。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1、进入综合评分评审阶段后，磋商小组成员会仅按本磋商文件载明的方法与规定，对满足磋商文件全部实质性要求的磋商响应文件进行评审、评价和比较。</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2、磋商小组各成员应当独立对每个有效的磋商响应文件进行评价、打分，然后汇总每个供应商每项评分因素的得分（计算结果均四舍五入保留两位小数）。</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3、本次磋商项目进入到综合评分阶段中的技术和商务报价磋商评审总分值为100分。两部分评审因素比重如下：</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（1）技术分值占总分值的比重为</w:t>
      </w:r>
      <w:r>
        <w:rPr>
          <w:rStyle w:val="22"/>
          <w:rFonts w:hint="eastAsia" w:ascii="仿宋_GB2312" w:hAnsi="仿宋_GB2312" w:eastAsia="仿宋_GB2312" w:cs="仿宋_GB2312"/>
          <w:sz w:val="32"/>
          <w:szCs w:val="32"/>
          <w:u w:val="single" w:color="000000"/>
        </w:rPr>
        <w:t>70%（权重）</w:t>
      </w:r>
      <w:r>
        <w:rPr>
          <w:rStyle w:val="22"/>
          <w:rFonts w:hint="eastAsia" w:ascii="仿宋_GB2312" w:hAnsi="仿宋_GB2312" w:eastAsia="仿宋_GB2312" w:cs="仿宋_GB2312"/>
          <w:sz w:val="32"/>
          <w:szCs w:val="32"/>
        </w:rPr>
        <w:t>（四舍五入保留两位小数）；</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（2）磋商响应最后商务报价分值占总分值的比重为</w:t>
      </w:r>
      <w:r>
        <w:rPr>
          <w:rStyle w:val="22"/>
          <w:rFonts w:hint="eastAsia" w:ascii="仿宋_GB2312" w:hAnsi="仿宋_GB2312" w:eastAsia="仿宋_GB2312" w:cs="仿宋_GB2312"/>
          <w:sz w:val="32"/>
          <w:szCs w:val="32"/>
          <w:u w:val="single" w:color="000000"/>
        </w:rPr>
        <w:t>30%（权重）</w:t>
      </w:r>
      <w:r>
        <w:rPr>
          <w:rStyle w:val="22"/>
          <w:rFonts w:hint="eastAsia" w:ascii="仿宋_GB2312" w:hAnsi="仿宋_GB2312" w:eastAsia="仿宋_GB2312" w:cs="仿宋_GB2312"/>
          <w:sz w:val="32"/>
          <w:szCs w:val="32"/>
        </w:rPr>
        <w:t>（四舍五入保留两位小数）。</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4、当磋商小组成员为5人（含5人）以上的，技术分是在去掉一个最高分和一个最低分后均算而成，当磋商小组成员少于5人时，技术分按算术平均值计算，分值四舍五入保留两位小数。</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5、最后报价分统一采用低价优先法计算直接取得，与技术得分相加为磋商响应供应商的综合得分（四舍五入保留两位小数）。</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6、综合得分最高的推荐为本项目的成交供应商并出具评审磋商报告。</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7、评审得分相同的，按照最后报价金额由低到高的顺序推荐。评审得分且最后报价相同的，按照技术指标优劣顺序推荐。</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五、综合评分规则</w:t>
      </w:r>
    </w:p>
    <w:p>
      <w:pPr>
        <w:snapToGrid w:val="0"/>
        <w:spacing w:line="560" w:lineRule="exact"/>
        <w:ind w:firstLine="649"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b/>
          <w:sz w:val="32"/>
          <w:szCs w:val="32"/>
        </w:rPr>
        <w:t>【特别提醒】涉及评分的证明材料原件，须密封在“磋商响应资料原件包”内，以便评审时核查</w:t>
      </w:r>
      <w:r>
        <w:rPr>
          <w:rStyle w:val="22"/>
          <w:rFonts w:hint="eastAsia" w:ascii="仿宋_GB2312" w:hAnsi="仿宋_GB2312" w:eastAsia="仿宋_GB2312" w:cs="仿宋_GB2312"/>
          <w:sz w:val="32"/>
          <w:szCs w:val="32"/>
        </w:rPr>
        <w:t>。</w:t>
      </w:r>
    </w:p>
    <w:p>
      <w:pPr>
        <w:numPr>
          <w:ilvl w:val="0"/>
          <w:numId w:val="2"/>
        </w:numPr>
        <w:snapToGrid w:val="0"/>
        <w:spacing w:line="560" w:lineRule="exact"/>
        <w:ind w:firstLine="649" w:firstLineChars="202"/>
        <w:rPr>
          <w:rStyle w:val="22"/>
          <w:rFonts w:ascii="仿宋_GB2312" w:hAnsi="仿宋_GB2312" w:eastAsia="仿宋_GB2312" w:cs="仿宋_GB2312"/>
          <w:b/>
          <w:sz w:val="32"/>
          <w:szCs w:val="32"/>
        </w:rPr>
      </w:pPr>
      <w:r>
        <w:rPr>
          <w:rStyle w:val="22"/>
          <w:rFonts w:hint="eastAsia" w:ascii="仿宋_GB2312" w:hAnsi="仿宋_GB2312" w:eastAsia="仿宋_GB2312" w:cs="仿宋_GB2312"/>
          <w:b/>
          <w:sz w:val="32"/>
          <w:szCs w:val="32"/>
        </w:rPr>
        <w:t>技术标评审：（70分）</w:t>
      </w:r>
    </w:p>
    <w:tbl>
      <w:tblPr>
        <w:tblStyle w:val="11"/>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1017"/>
        <w:gridCol w:w="6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blHeader/>
        </w:trPr>
        <w:tc>
          <w:tcPr>
            <w:tcW w:w="11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76"/>
                <w:rFonts w:ascii="宋体" w:hAnsi="宋体"/>
                <w:b/>
                <w:sz w:val="24"/>
              </w:rPr>
            </w:pPr>
            <w:r>
              <w:rPr>
                <w:rStyle w:val="76"/>
                <w:rFonts w:ascii="宋体" w:hAnsi="宋体"/>
                <w:b/>
                <w:sz w:val="24"/>
              </w:rPr>
              <w:t>评分因素</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76"/>
                <w:rFonts w:ascii="宋体" w:hAnsi="宋体"/>
                <w:b/>
                <w:sz w:val="24"/>
              </w:rPr>
            </w:pPr>
            <w:r>
              <w:rPr>
                <w:rStyle w:val="76"/>
                <w:rFonts w:ascii="宋体" w:hAnsi="宋体"/>
                <w:b/>
                <w:sz w:val="24"/>
              </w:rPr>
              <w:t>标准</w:t>
            </w:r>
          </w:p>
          <w:p>
            <w:pPr>
              <w:snapToGrid w:val="0"/>
              <w:jc w:val="center"/>
              <w:rPr>
                <w:rStyle w:val="76"/>
                <w:rFonts w:ascii="宋体" w:hAnsi="宋体"/>
                <w:b/>
                <w:sz w:val="24"/>
              </w:rPr>
            </w:pPr>
            <w:r>
              <w:rPr>
                <w:rStyle w:val="76"/>
                <w:rFonts w:ascii="宋体" w:hAnsi="宋体"/>
                <w:b/>
                <w:sz w:val="24"/>
              </w:rPr>
              <w:t>分值</w:t>
            </w:r>
          </w:p>
        </w:tc>
        <w:tc>
          <w:tcPr>
            <w:tcW w:w="695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76"/>
                <w:rFonts w:ascii="宋体" w:hAnsi="宋体"/>
                <w:b/>
                <w:sz w:val="24"/>
              </w:rPr>
            </w:pPr>
            <w:r>
              <w:rPr>
                <w:rStyle w:val="76"/>
                <w:rFonts w:ascii="宋体" w:hAnsi="宋体"/>
                <w:b/>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9"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textAlignment w:val="auto"/>
              <w:rPr>
                <w:rStyle w:val="76"/>
                <w:rFonts w:ascii="宋体" w:hAnsi="宋体"/>
                <w:sz w:val="24"/>
              </w:rPr>
            </w:pPr>
            <w:r>
              <w:rPr>
                <w:rFonts w:hint="eastAsia" w:ascii="宋体" w:hAnsi="宋体" w:cs="方正仿宋_GBK"/>
                <w:sz w:val="24"/>
                <w:szCs w:val="24"/>
              </w:rPr>
              <w:t>经营规模</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76"/>
                <w:rFonts w:ascii="宋体" w:hAnsi="宋体"/>
                <w:sz w:val="24"/>
              </w:rPr>
            </w:pPr>
            <w:r>
              <w:rPr>
                <w:rStyle w:val="76"/>
                <w:rFonts w:hint="eastAsia" w:ascii="宋体" w:hAnsi="宋体"/>
                <w:sz w:val="24"/>
              </w:rPr>
              <w:t>15</w:t>
            </w:r>
          </w:p>
        </w:tc>
        <w:tc>
          <w:tcPr>
            <w:tcW w:w="6956"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auto"/>
              <w:rPr>
                <w:rFonts w:ascii="宋体" w:hAnsi="宋体" w:cs="方正仿宋_GBK"/>
                <w:sz w:val="24"/>
                <w:szCs w:val="24"/>
              </w:rPr>
            </w:pPr>
            <w:r>
              <w:rPr>
                <w:rFonts w:hint="eastAsia" w:ascii="宋体" w:hAnsi="宋体" w:cs="方正仿宋_GBK"/>
                <w:sz w:val="24"/>
                <w:szCs w:val="24"/>
              </w:rPr>
              <w:t>投标单位拥有同一法人代表的实体超市5家及以上，得15分；</w:t>
            </w:r>
          </w:p>
          <w:p>
            <w:pPr>
              <w:spacing w:line="360" w:lineRule="exact"/>
              <w:textAlignment w:val="auto"/>
              <w:rPr>
                <w:rFonts w:ascii="宋体" w:hAnsi="宋体" w:cs="方正仿宋_GBK"/>
                <w:sz w:val="24"/>
                <w:szCs w:val="24"/>
              </w:rPr>
            </w:pPr>
            <w:r>
              <w:rPr>
                <w:rFonts w:hint="eastAsia" w:ascii="宋体" w:hAnsi="宋体" w:cs="方正仿宋_GBK"/>
                <w:sz w:val="24"/>
                <w:szCs w:val="24"/>
              </w:rPr>
              <w:t>投标单位拥有同一法人代表的实体超市</w:t>
            </w:r>
            <w:r>
              <w:rPr>
                <w:rFonts w:ascii="宋体" w:hAnsi="宋体" w:cs="方正仿宋_GBK"/>
                <w:sz w:val="24"/>
                <w:szCs w:val="24"/>
              </w:rPr>
              <w:t>3</w:t>
            </w:r>
            <w:r>
              <w:rPr>
                <w:rFonts w:hint="eastAsia" w:ascii="宋体" w:hAnsi="宋体" w:cs="方正仿宋_GBK"/>
                <w:sz w:val="24"/>
                <w:szCs w:val="24"/>
              </w:rPr>
              <w:t>-4家，得</w:t>
            </w:r>
            <w:r>
              <w:rPr>
                <w:rFonts w:ascii="宋体" w:hAnsi="宋体" w:cs="方正仿宋_GBK"/>
                <w:sz w:val="24"/>
                <w:szCs w:val="24"/>
              </w:rPr>
              <w:t>10</w:t>
            </w:r>
            <w:r>
              <w:rPr>
                <w:rFonts w:hint="eastAsia" w:ascii="宋体" w:hAnsi="宋体" w:cs="方正仿宋_GBK"/>
                <w:sz w:val="24"/>
                <w:szCs w:val="24"/>
              </w:rPr>
              <w:t>分；</w:t>
            </w:r>
          </w:p>
          <w:p>
            <w:pPr>
              <w:spacing w:line="360" w:lineRule="exact"/>
              <w:textAlignment w:val="auto"/>
              <w:rPr>
                <w:rFonts w:ascii="宋体" w:hAnsi="宋体" w:cs="方正仿宋_GBK"/>
                <w:sz w:val="24"/>
                <w:szCs w:val="24"/>
              </w:rPr>
            </w:pPr>
            <w:r>
              <w:rPr>
                <w:rFonts w:hint="eastAsia" w:ascii="宋体" w:hAnsi="宋体" w:cs="方正仿宋_GBK"/>
                <w:sz w:val="24"/>
                <w:szCs w:val="24"/>
              </w:rPr>
              <w:t>投标单位拥有同一法人代表的实体超市1-2家，得5分；</w:t>
            </w:r>
          </w:p>
          <w:p>
            <w:pPr>
              <w:spacing w:line="360" w:lineRule="exact"/>
              <w:textAlignment w:val="auto"/>
              <w:rPr>
                <w:rFonts w:ascii="宋体" w:hAnsi="宋体" w:cs="方正仿宋_GBK"/>
                <w:sz w:val="24"/>
                <w:szCs w:val="24"/>
              </w:rPr>
            </w:pPr>
            <w:r>
              <w:rPr>
                <w:rFonts w:hint="eastAsia" w:ascii="宋体" w:hAnsi="宋体" w:cs="方正仿宋_GBK"/>
                <w:sz w:val="24"/>
                <w:szCs w:val="24"/>
              </w:rPr>
              <w:t>其余情况不得分；（注：投标单位拥有托管运营合同的，同样不得分）。</w:t>
            </w:r>
          </w:p>
          <w:p>
            <w:pPr>
              <w:snapToGrid w:val="0"/>
              <w:spacing w:line="360" w:lineRule="auto"/>
              <w:rPr>
                <w:rStyle w:val="76"/>
                <w:rFonts w:ascii="宋体" w:hAnsi="宋体"/>
                <w:sz w:val="24"/>
              </w:rPr>
            </w:pPr>
            <w:r>
              <w:rPr>
                <w:rFonts w:hint="eastAsia" w:ascii="宋体" w:hAnsi="宋体" w:cs="方正仿宋_GBK"/>
                <w:sz w:val="24"/>
                <w:szCs w:val="24"/>
              </w:rPr>
              <w:t>（需提供营业执照复印件、门楼照片、内部陈列照片等相关材料）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textAlignment w:val="auto"/>
              <w:rPr>
                <w:rFonts w:ascii="宋体" w:hAnsi="宋体" w:cs="方正仿宋_GBK"/>
                <w:sz w:val="24"/>
                <w:szCs w:val="24"/>
              </w:rPr>
            </w:pPr>
            <w:r>
              <w:rPr>
                <w:rFonts w:hint="eastAsia" w:ascii="宋体" w:hAnsi="宋体" w:cs="方正仿宋_GBK"/>
                <w:sz w:val="24"/>
                <w:szCs w:val="24"/>
              </w:rPr>
              <w:t>经营面积</w:t>
            </w:r>
          </w:p>
          <w:p>
            <w:pPr>
              <w:snapToGrid w:val="0"/>
              <w:spacing w:line="360" w:lineRule="auto"/>
              <w:jc w:val="center"/>
              <w:rPr>
                <w:rStyle w:val="76"/>
                <w:rFonts w:ascii="宋体" w:hAnsi="宋体"/>
                <w:sz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76"/>
                <w:rFonts w:ascii="宋体" w:hAnsi="宋体"/>
                <w:sz w:val="24"/>
              </w:rPr>
            </w:pPr>
            <w:r>
              <w:rPr>
                <w:rStyle w:val="76"/>
                <w:rFonts w:hint="eastAsia" w:ascii="宋体" w:hAnsi="宋体"/>
                <w:sz w:val="24"/>
              </w:rPr>
              <w:t>10</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投标单位拥有单个实体超市经营面积4</w:t>
            </w:r>
            <w:r>
              <w:rPr>
                <w:rFonts w:ascii="宋体" w:hAnsi="宋体" w:cs="方正仿宋_GBK"/>
                <w:sz w:val="24"/>
                <w:szCs w:val="24"/>
              </w:rPr>
              <w:t>000</w:t>
            </w:r>
            <w:r>
              <w:rPr>
                <w:rFonts w:hint="eastAsia" w:ascii="宋体" w:hAnsi="宋体" w:cs="方正仿宋_GBK"/>
                <w:sz w:val="24"/>
                <w:szCs w:val="24"/>
              </w:rPr>
              <w:t>㎡及以上，得1</w:t>
            </w:r>
            <w:r>
              <w:rPr>
                <w:rFonts w:ascii="宋体" w:hAnsi="宋体" w:cs="方正仿宋_GBK"/>
                <w:sz w:val="24"/>
                <w:szCs w:val="24"/>
              </w:rPr>
              <w:t>0</w:t>
            </w:r>
            <w:r>
              <w:rPr>
                <w:rFonts w:hint="eastAsia" w:ascii="宋体" w:hAnsi="宋体" w:cs="方正仿宋_GBK"/>
                <w:sz w:val="24"/>
                <w:szCs w:val="24"/>
              </w:rPr>
              <w:t>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投标单位拥有单个实体超市经营面积2</w:t>
            </w:r>
            <w:r>
              <w:rPr>
                <w:rFonts w:ascii="宋体" w:hAnsi="宋体" w:cs="方正仿宋_GBK"/>
                <w:sz w:val="24"/>
                <w:szCs w:val="24"/>
              </w:rPr>
              <w:t>000</w:t>
            </w:r>
            <w:r>
              <w:rPr>
                <w:rFonts w:hint="eastAsia" w:ascii="宋体" w:hAnsi="宋体" w:cs="方正仿宋_GBK"/>
                <w:sz w:val="24"/>
                <w:szCs w:val="24"/>
              </w:rPr>
              <w:t>㎡（含）-4</w:t>
            </w:r>
            <w:r>
              <w:rPr>
                <w:rFonts w:ascii="宋体" w:hAnsi="宋体" w:cs="方正仿宋_GBK"/>
                <w:sz w:val="24"/>
                <w:szCs w:val="24"/>
              </w:rPr>
              <w:t>000</w:t>
            </w:r>
            <w:r>
              <w:rPr>
                <w:rFonts w:hint="eastAsia" w:ascii="宋体" w:hAnsi="宋体" w:cs="方正仿宋_GBK"/>
                <w:sz w:val="24"/>
                <w:szCs w:val="24"/>
              </w:rPr>
              <w:t>㎡（不含），得7分；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投标单位拥有单个实体超市经营面积5</w:t>
            </w:r>
            <w:r>
              <w:rPr>
                <w:rFonts w:ascii="宋体" w:hAnsi="宋体" w:cs="方正仿宋_GBK"/>
                <w:sz w:val="24"/>
                <w:szCs w:val="24"/>
              </w:rPr>
              <w:t>00</w:t>
            </w:r>
            <w:r>
              <w:rPr>
                <w:rFonts w:hint="eastAsia" w:ascii="宋体" w:hAnsi="宋体" w:cs="方正仿宋_GBK"/>
                <w:sz w:val="24"/>
                <w:szCs w:val="24"/>
              </w:rPr>
              <w:t>㎡（含）-2</w:t>
            </w:r>
            <w:r>
              <w:rPr>
                <w:rFonts w:ascii="宋体" w:hAnsi="宋体" w:cs="方正仿宋_GBK"/>
                <w:sz w:val="24"/>
                <w:szCs w:val="24"/>
              </w:rPr>
              <w:t>000</w:t>
            </w:r>
            <w:r>
              <w:rPr>
                <w:rFonts w:hint="eastAsia" w:ascii="宋体" w:hAnsi="宋体" w:cs="方正仿宋_GBK"/>
                <w:sz w:val="24"/>
                <w:szCs w:val="24"/>
              </w:rPr>
              <w:t>㎡（不含），得4分；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投标单位拥有单个实体超市经营面积5</w:t>
            </w:r>
            <w:r>
              <w:rPr>
                <w:rFonts w:ascii="宋体" w:hAnsi="宋体" w:cs="方正仿宋_GBK"/>
                <w:sz w:val="24"/>
                <w:szCs w:val="24"/>
              </w:rPr>
              <w:t>00</w:t>
            </w:r>
            <w:r>
              <w:rPr>
                <w:rFonts w:hint="eastAsia" w:ascii="宋体" w:hAnsi="宋体" w:cs="方正仿宋_GBK"/>
                <w:sz w:val="24"/>
                <w:szCs w:val="24"/>
              </w:rPr>
              <w:t>㎡以下，得2分。</w:t>
            </w:r>
          </w:p>
          <w:p>
            <w:pPr>
              <w:snapToGrid w:val="0"/>
              <w:spacing w:line="360" w:lineRule="auto"/>
              <w:rPr>
                <w:rStyle w:val="22"/>
                <w:rFonts w:ascii="宋体" w:hAnsi="宋体"/>
                <w:sz w:val="24"/>
                <w:szCs w:val="24"/>
              </w:rPr>
            </w:pPr>
            <w:r>
              <w:rPr>
                <w:rFonts w:hint="eastAsia" w:ascii="宋体" w:hAnsi="宋体" w:cs="宋体"/>
                <w:sz w:val="24"/>
                <w:szCs w:val="24"/>
              </w:rPr>
              <w:t>（针对经营规模中涉及的实体超市，提供对应的租赁合同或产权证明等相关材料）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textAlignment w:val="auto"/>
              <w:rPr>
                <w:rStyle w:val="76"/>
                <w:rFonts w:ascii="宋体" w:hAnsi="宋体"/>
                <w:sz w:val="24"/>
              </w:rPr>
            </w:pPr>
            <w:r>
              <w:rPr>
                <w:rFonts w:hint="eastAsia" w:ascii="宋体" w:hAnsi="宋体" w:cs="方正仿宋_GBK"/>
                <w:sz w:val="24"/>
                <w:szCs w:val="24"/>
              </w:rPr>
              <w:t>仓库面积</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76"/>
                <w:rFonts w:ascii="宋体" w:hAnsi="宋体"/>
                <w:sz w:val="24"/>
              </w:rPr>
            </w:pPr>
            <w:r>
              <w:rPr>
                <w:rStyle w:val="76"/>
                <w:rFonts w:hint="eastAsia" w:ascii="宋体" w:hAnsi="宋体"/>
                <w:sz w:val="24"/>
              </w:rPr>
              <w:t>10</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投标单位拥有单个实体超市仓库面积15</w:t>
            </w:r>
            <w:r>
              <w:rPr>
                <w:rFonts w:ascii="宋体" w:hAnsi="宋体" w:cs="方正仿宋_GBK"/>
                <w:sz w:val="24"/>
                <w:szCs w:val="24"/>
              </w:rPr>
              <w:t>00</w:t>
            </w:r>
            <w:r>
              <w:rPr>
                <w:rFonts w:hint="eastAsia" w:ascii="宋体" w:hAnsi="宋体" w:cs="方正仿宋_GBK"/>
                <w:sz w:val="24"/>
                <w:szCs w:val="24"/>
              </w:rPr>
              <w:t>㎡及以上，得1</w:t>
            </w:r>
            <w:r>
              <w:rPr>
                <w:rFonts w:ascii="宋体" w:hAnsi="宋体" w:cs="方正仿宋_GBK"/>
                <w:sz w:val="24"/>
                <w:szCs w:val="24"/>
              </w:rPr>
              <w:t>0</w:t>
            </w:r>
            <w:r>
              <w:rPr>
                <w:rFonts w:hint="eastAsia" w:ascii="宋体" w:hAnsi="宋体" w:cs="方正仿宋_GBK"/>
                <w:sz w:val="24"/>
                <w:szCs w:val="24"/>
              </w:rPr>
              <w:t>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投标单位拥有单个实体超市经营面积1</w:t>
            </w:r>
            <w:r>
              <w:rPr>
                <w:rFonts w:ascii="宋体" w:hAnsi="宋体" w:cs="方正仿宋_GBK"/>
                <w:sz w:val="24"/>
                <w:szCs w:val="24"/>
              </w:rPr>
              <w:t>000</w:t>
            </w:r>
            <w:r>
              <w:rPr>
                <w:rFonts w:hint="eastAsia" w:ascii="宋体" w:hAnsi="宋体" w:cs="方正仿宋_GBK"/>
                <w:sz w:val="24"/>
                <w:szCs w:val="24"/>
              </w:rPr>
              <w:t>㎡（含）-15</w:t>
            </w:r>
            <w:r>
              <w:rPr>
                <w:rFonts w:ascii="宋体" w:hAnsi="宋体" w:cs="方正仿宋_GBK"/>
                <w:sz w:val="24"/>
                <w:szCs w:val="24"/>
              </w:rPr>
              <w:t>00</w:t>
            </w:r>
            <w:r>
              <w:rPr>
                <w:rFonts w:hint="eastAsia" w:ascii="宋体" w:hAnsi="宋体" w:cs="方正仿宋_GBK"/>
                <w:sz w:val="24"/>
                <w:szCs w:val="24"/>
              </w:rPr>
              <w:t>㎡（不含），得7分；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投标单位拥有单个实体超市经营面积5</w:t>
            </w:r>
            <w:r>
              <w:rPr>
                <w:rFonts w:ascii="宋体" w:hAnsi="宋体" w:cs="方正仿宋_GBK"/>
                <w:sz w:val="24"/>
                <w:szCs w:val="24"/>
              </w:rPr>
              <w:t>00</w:t>
            </w:r>
            <w:r>
              <w:rPr>
                <w:rFonts w:hint="eastAsia" w:ascii="宋体" w:hAnsi="宋体" w:cs="方正仿宋_GBK"/>
                <w:sz w:val="24"/>
                <w:szCs w:val="24"/>
              </w:rPr>
              <w:t>㎡（含）-1</w:t>
            </w:r>
            <w:r>
              <w:rPr>
                <w:rFonts w:ascii="宋体" w:hAnsi="宋体" w:cs="方正仿宋_GBK"/>
                <w:sz w:val="24"/>
                <w:szCs w:val="24"/>
              </w:rPr>
              <w:t>000</w:t>
            </w:r>
            <w:r>
              <w:rPr>
                <w:rFonts w:hint="eastAsia" w:ascii="宋体" w:hAnsi="宋体" w:cs="方正仿宋_GBK"/>
                <w:sz w:val="24"/>
                <w:szCs w:val="24"/>
              </w:rPr>
              <w:t>㎡（不含），得4分；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投标单位拥有单个实体超市经营面积5</w:t>
            </w:r>
            <w:r>
              <w:rPr>
                <w:rFonts w:ascii="宋体" w:hAnsi="宋体" w:cs="方正仿宋_GBK"/>
                <w:sz w:val="24"/>
                <w:szCs w:val="24"/>
              </w:rPr>
              <w:t>00</w:t>
            </w:r>
            <w:r>
              <w:rPr>
                <w:rFonts w:hint="eastAsia" w:ascii="宋体" w:hAnsi="宋体" w:cs="方正仿宋_GBK"/>
                <w:sz w:val="24"/>
                <w:szCs w:val="24"/>
              </w:rPr>
              <w:t>㎡以下，得2分。</w:t>
            </w:r>
          </w:p>
          <w:p>
            <w:pPr>
              <w:snapToGrid w:val="0"/>
              <w:spacing w:line="360" w:lineRule="auto"/>
              <w:rPr>
                <w:rStyle w:val="22"/>
                <w:rFonts w:ascii="宋体" w:hAnsi="宋体"/>
                <w:sz w:val="24"/>
                <w:szCs w:val="24"/>
              </w:rPr>
            </w:pPr>
            <w:r>
              <w:rPr>
                <w:rFonts w:hint="eastAsia" w:ascii="宋体" w:hAnsi="宋体" w:cs="宋体"/>
                <w:sz w:val="24"/>
                <w:szCs w:val="24"/>
              </w:rPr>
              <w:t>（针对经营规模中涉及的实体超市，提供对应的租赁合同或产权证明等相关材料）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textAlignment w:val="auto"/>
              <w:rPr>
                <w:rFonts w:ascii="宋体" w:hAnsi="宋体" w:cs="方正仿宋_GBK"/>
                <w:sz w:val="24"/>
                <w:szCs w:val="24"/>
              </w:rPr>
            </w:pPr>
            <w:r>
              <w:rPr>
                <w:rFonts w:hint="eastAsia" w:ascii="宋体" w:hAnsi="宋体" w:cs="方正仿宋_GBK"/>
                <w:sz w:val="24"/>
                <w:szCs w:val="24"/>
              </w:rPr>
              <w:t>企业性质</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76"/>
                <w:rFonts w:ascii="宋体" w:hAnsi="宋体"/>
                <w:sz w:val="24"/>
              </w:rPr>
            </w:pPr>
            <w:r>
              <w:rPr>
                <w:rStyle w:val="76"/>
                <w:rFonts w:hint="eastAsia" w:ascii="宋体" w:hAnsi="宋体"/>
                <w:sz w:val="24"/>
              </w:rPr>
              <w:t>5</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投标单位为一般纳税人的，得5分；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其余情况得2分。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（需提供国家税务总局江苏省电子税务局查询结果截图）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textAlignment w:val="auto"/>
              <w:rPr>
                <w:rStyle w:val="76"/>
                <w:rFonts w:ascii="宋体" w:hAnsi="宋体"/>
                <w:sz w:val="24"/>
              </w:rPr>
            </w:pPr>
            <w:r>
              <w:rPr>
                <w:rFonts w:hint="eastAsia" w:ascii="宋体" w:hAnsi="宋体" w:cs="方正仿宋_GBK"/>
                <w:sz w:val="24"/>
                <w:szCs w:val="24"/>
              </w:rPr>
              <w:t>应急能力</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76"/>
                <w:rFonts w:ascii="宋体" w:hAnsi="宋体"/>
                <w:sz w:val="24"/>
              </w:rPr>
            </w:pPr>
            <w:r>
              <w:rPr>
                <w:rStyle w:val="76"/>
                <w:rFonts w:hint="eastAsia" w:ascii="宋体" w:hAnsi="宋体"/>
                <w:sz w:val="24"/>
              </w:rPr>
              <w:t>20</w:t>
            </w:r>
          </w:p>
        </w:tc>
        <w:tc>
          <w:tcPr>
            <w:tcW w:w="695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textAlignment w:val="auto"/>
              <w:rPr>
                <w:rFonts w:ascii="宋体" w:hAnsi="宋体" w:cs="方正仿宋_GBK"/>
                <w:kern w:val="0"/>
                <w:sz w:val="24"/>
                <w:szCs w:val="24"/>
              </w:rPr>
            </w:pPr>
            <w:r>
              <w:rPr>
                <w:rFonts w:hint="eastAsia" w:ascii="宋体" w:hAnsi="宋体" w:cs="方正仿宋_GBK"/>
                <w:kern w:val="0"/>
                <w:sz w:val="24"/>
                <w:szCs w:val="24"/>
              </w:rPr>
              <w:t>投标单位拥有单个实体超市在海门区范围内的，得2</w:t>
            </w:r>
            <w:r>
              <w:rPr>
                <w:rFonts w:ascii="宋体" w:hAnsi="宋体" w:cs="方正仿宋_GBK"/>
                <w:kern w:val="0"/>
                <w:sz w:val="24"/>
                <w:szCs w:val="24"/>
              </w:rPr>
              <w:t>0</w:t>
            </w:r>
            <w:r>
              <w:rPr>
                <w:rFonts w:hint="eastAsia" w:ascii="宋体" w:hAnsi="宋体" w:cs="方正仿宋_GBK"/>
                <w:kern w:val="0"/>
                <w:sz w:val="24"/>
                <w:szCs w:val="24"/>
              </w:rPr>
              <w:t>分；</w:t>
            </w:r>
          </w:p>
          <w:p>
            <w:pPr>
              <w:spacing w:line="340" w:lineRule="exact"/>
              <w:jc w:val="left"/>
              <w:textAlignment w:val="auto"/>
              <w:rPr>
                <w:rFonts w:ascii="宋体" w:hAnsi="宋体" w:cs="方正仿宋_GBK"/>
                <w:kern w:val="0"/>
                <w:sz w:val="24"/>
                <w:szCs w:val="24"/>
              </w:rPr>
            </w:pPr>
            <w:r>
              <w:rPr>
                <w:rFonts w:hint="eastAsia" w:ascii="宋体" w:hAnsi="宋体" w:cs="方正仿宋_GBK"/>
                <w:kern w:val="0"/>
                <w:sz w:val="24"/>
                <w:szCs w:val="24"/>
              </w:rPr>
              <w:t>投标单位拥有单个实体超市在海门区范围外，南通市范围内的，得10分；</w:t>
            </w:r>
          </w:p>
          <w:p>
            <w:pPr>
              <w:spacing w:line="340" w:lineRule="exact"/>
              <w:jc w:val="left"/>
              <w:textAlignment w:val="auto"/>
              <w:rPr>
                <w:rFonts w:ascii="宋体" w:hAnsi="宋体" w:cs="方正仿宋_GBK"/>
                <w:kern w:val="0"/>
                <w:sz w:val="24"/>
                <w:szCs w:val="24"/>
              </w:rPr>
            </w:pPr>
            <w:r>
              <w:rPr>
                <w:rFonts w:hint="eastAsia" w:ascii="宋体" w:hAnsi="宋体" w:cs="方正仿宋_GBK"/>
                <w:kern w:val="0"/>
                <w:sz w:val="24"/>
                <w:szCs w:val="24"/>
              </w:rPr>
              <w:t>投标单位拥有单个实体超市在南通市范围外的，得5分。</w:t>
            </w:r>
          </w:p>
          <w:p>
            <w:pPr>
              <w:snapToGrid w:val="0"/>
              <w:spacing w:line="360" w:lineRule="auto"/>
              <w:rPr>
                <w:rStyle w:val="22"/>
                <w:rFonts w:ascii="宋体" w:hAnsi="宋体"/>
                <w:sz w:val="24"/>
                <w:szCs w:val="24"/>
              </w:rPr>
            </w:pPr>
            <w:r>
              <w:rPr>
                <w:rFonts w:hint="eastAsia" w:ascii="宋体" w:hAnsi="宋体" w:cs="方正仿宋_GBK"/>
              </w:rPr>
              <w:t>（需提供营业执照复印件）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119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textAlignment w:val="auto"/>
              <w:rPr>
                <w:rFonts w:ascii="宋体" w:hAnsi="宋体" w:cs="方正仿宋_GBK"/>
                <w:sz w:val="24"/>
                <w:szCs w:val="24"/>
                <w:highlight w:val="yellow"/>
              </w:rPr>
            </w:pPr>
            <w:r>
              <w:rPr>
                <w:rFonts w:hint="eastAsia" w:ascii="宋体" w:hAnsi="宋体" w:cs="方正仿宋_GBK"/>
                <w:sz w:val="24"/>
                <w:szCs w:val="24"/>
              </w:rPr>
              <w:t>服务承诺和服务体系</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76"/>
                <w:rFonts w:ascii="宋体" w:hAnsi="宋体"/>
                <w:sz w:val="24"/>
              </w:rPr>
            </w:pPr>
            <w:r>
              <w:rPr>
                <w:rStyle w:val="76"/>
                <w:rFonts w:hint="eastAsia" w:ascii="宋体" w:hAnsi="宋体"/>
                <w:sz w:val="24"/>
              </w:rPr>
              <w:t>10</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26"/>
              </w:tabs>
              <w:spacing w:line="360" w:lineRule="exact"/>
              <w:textAlignment w:val="auto"/>
              <w:rPr>
                <w:rFonts w:ascii="宋体" w:hAnsi="宋体" w:cs="方正仿宋_GBK"/>
                <w:sz w:val="24"/>
                <w:szCs w:val="24"/>
              </w:rPr>
            </w:pPr>
            <w:r>
              <w:rPr>
                <w:rFonts w:hint="eastAsia" w:ascii="宋体" w:hAnsi="宋体" w:cs="方正仿宋_GBK"/>
                <w:sz w:val="24"/>
                <w:szCs w:val="24"/>
              </w:rPr>
              <w:t>服务承诺及服务体系非常完善</w:t>
            </w:r>
            <w:r>
              <w:rPr>
                <w:rFonts w:ascii="宋体" w:hAnsi="宋体" w:cs="方正仿宋_GBK"/>
                <w:sz w:val="24"/>
                <w:szCs w:val="24"/>
              </w:rPr>
              <w:t>8</w:t>
            </w:r>
            <w:r>
              <w:rPr>
                <w:rFonts w:hint="eastAsia" w:ascii="宋体" w:hAnsi="宋体" w:cs="方正仿宋_GBK"/>
                <w:sz w:val="24"/>
                <w:szCs w:val="24"/>
              </w:rPr>
              <w:t>-</w:t>
            </w:r>
            <w:r>
              <w:rPr>
                <w:rFonts w:ascii="宋体" w:hAnsi="宋体" w:cs="方正仿宋_GBK"/>
                <w:sz w:val="24"/>
                <w:szCs w:val="24"/>
              </w:rPr>
              <w:t>10</w:t>
            </w:r>
            <w:r>
              <w:rPr>
                <w:rFonts w:hint="eastAsia" w:ascii="宋体" w:hAnsi="宋体" w:cs="方正仿宋_GBK"/>
                <w:sz w:val="24"/>
                <w:szCs w:val="24"/>
              </w:rPr>
              <w:t>分；</w:t>
            </w:r>
          </w:p>
          <w:p>
            <w:pPr>
              <w:widowControl w:val="0"/>
              <w:tabs>
                <w:tab w:val="left" w:pos="726"/>
              </w:tabs>
              <w:spacing w:line="360" w:lineRule="exact"/>
              <w:textAlignment w:val="auto"/>
              <w:rPr>
                <w:rFonts w:ascii="宋体" w:hAnsi="宋体" w:cs="方正仿宋_GBK"/>
                <w:sz w:val="24"/>
                <w:szCs w:val="24"/>
              </w:rPr>
            </w:pPr>
            <w:r>
              <w:rPr>
                <w:rFonts w:hint="eastAsia" w:ascii="宋体" w:hAnsi="宋体" w:cs="方正仿宋_GBK"/>
                <w:sz w:val="24"/>
                <w:szCs w:val="24"/>
              </w:rPr>
              <w:t>现场服务承诺及服务体系较为完善</w:t>
            </w:r>
            <w:r>
              <w:rPr>
                <w:rFonts w:ascii="宋体" w:hAnsi="宋体" w:cs="方正仿宋_GBK"/>
                <w:sz w:val="24"/>
                <w:szCs w:val="24"/>
              </w:rPr>
              <w:t>5</w:t>
            </w:r>
            <w:r>
              <w:rPr>
                <w:rFonts w:hint="eastAsia" w:ascii="宋体" w:hAnsi="宋体" w:cs="方正仿宋_GBK"/>
                <w:sz w:val="24"/>
                <w:szCs w:val="24"/>
              </w:rPr>
              <w:t>-</w:t>
            </w:r>
            <w:r>
              <w:rPr>
                <w:rFonts w:ascii="宋体" w:hAnsi="宋体" w:cs="方正仿宋_GBK"/>
                <w:sz w:val="24"/>
                <w:szCs w:val="24"/>
              </w:rPr>
              <w:t>7</w:t>
            </w:r>
            <w:r>
              <w:rPr>
                <w:rFonts w:hint="eastAsia" w:ascii="宋体" w:hAnsi="宋体" w:cs="方正仿宋_GBK"/>
                <w:sz w:val="24"/>
                <w:szCs w:val="24"/>
              </w:rPr>
              <w:t>分；</w:t>
            </w:r>
          </w:p>
          <w:p>
            <w:pPr>
              <w:widowControl w:val="0"/>
              <w:spacing w:line="360" w:lineRule="exact"/>
              <w:textAlignment w:val="auto"/>
              <w:rPr>
                <w:rFonts w:ascii="宋体" w:hAnsi="宋体" w:cs="方正仿宋_GBK"/>
                <w:sz w:val="24"/>
                <w:szCs w:val="24"/>
              </w:rPr>
            </w:pPr>
            <w:r>
              <w:rPr>
                <w:rFonts w:hint="eastAsia" w:ascii="宋体" w:hAnsi="宋体" w:cs="方正仿宋_GBK"/>
                <w:sz w:val="24"/>
                <w:szCs w:val="24"/>
              </w:rPr>
              <w:t>现场服务承诺及服务体系一般</w:t>
            </w:r>
            <w:r>
              <w:rPr>
                <w:rFonts w:ascii="宋体" w:hAnsi="宋体" w:cs="方正仿宋_GBK"/>
                <w:sz w:val="24"/>
                <w:szCs w:val="24"/>
              </w:rPr>
              <w:t>0</w:t>
            </w:r>
            <w:r>
              <w:rPr>
                <w:rFonts w:hint="eastAsia" w:ascii="宋体" w:hAnsi="宋体" w:cs="方正仿宋_GBK"/>
                <w:sz w:val="24"/>
                <w:szCs w:val="24"/>
              </w:rPr>
              <w:t>-</w:t>
            </w:r>
            <w:r>
              <w:rPr>
                <w:rFonts w:ascii="宋体" w:hAnsi="宋体" w:cs="方正仿宋_GBK"/>
                <w:sz w:val="24"/>
                <w:szCs w:val="24"/>
              </w:rPr>
              <w:t>4</w:t>
            </w:r>
            <w:r>
              <w:rPr>
                <w:rFonts w:hint="eastAsia" w:ascii="宋体" w:hAnsi="宋体" w:cs="方正仿宋_GBK"/>
                <w:sz w:val="24"/>
                <w:szCs w:val="24"/>
              </w:rPr>
              <w:t>分。</w:t>
            </w:r>
          </w:p>
          <w:p>
            <w:pPr>
              <w:spacing w:line="340" w:lineRule="exact"/>
              <w:jc w:val="left"/>
              <w:textAlignment w:val="auto"/>
              <w:rPr>
                <w:rFonts w:ascii="宋体" w:hAnsi="宋体" w:cs="方正仿宋_GBK"/>
                <w:kern w:val="0"/>
                <w:sz w:val="24"/>
                <w:szCs w:val="24"/>
                <w:highlight w:val="yellow"/>
              </w:rPr>
            </w:pPr>
            <w:r>
              <w:rPr>
                <w:rFonts w:hint="eastAsia" w:ascii="宋体" w:hAnsi="宋体" w:cs="宋体"/>
                <w:sz w:val="24"/>
                <w:szCs w:val="24"/>
              </w:rPr>
              <w:t>（需出具相关方案或制度）</w:t>
            </w:r>
          </w:p>
        </w:tc>
      </w:tr>
    </w:tbl>
    <w:p>
      <w:pPr>
        <w:snapToGrid w:val="0"/>
        <w:spacing w:line="560" w:lineRule="exact"/>
        <w:rPr>
          <w:rStyle w:val="22"/>
          <w:rFonts w:ascii="仿宋_GB2312" w:hAnsi="仿宋_GB2312" w:eastAsia="仿宋_GB2312" w:cs="仿宋_GB2312"/>
          <w:b/>
          <w:kern w:val="0"/>
          <w:sz w:val="32"/>
          <w:szCs w:val="32"/>
        </w:rPr>
      </w:pPr>
      <w:r>
        <w:rPr>
          <w:rStyle w:val="22"/>
          <w:rFonts w:hint="eastAsia" w:ascii="仿宋_GB2312" w:hAnsi="仿宋_GB2312" w:eastAsia="仿宋_GB2312" w:cs="仿宋_GB2312"/>
          <w:b/>
          <w:kern w:val="0"/>
          <w:sz w:val="32"/>
          <w:szCs w:val="32"/>
        </w:rPr>
        <w:t>注：</w:t>
      </w:r>
      <w:r>
        <w:rPr>
          <w:rStyle w:val="22"/>
          <w:rFonts w:hint="eastAsia" w:ascii="仿宋_GB2312" w:hAnsi="仿宋_GB2312" w:eastAsia="仿宋_GB2312" w:cs="仿宋_GB2312"/>
          <w:b/>
          <w:sz w:val="32"/>
          <w:szCs w:val="32"/>
        </w:rPr>
        <w:t>1、技术标评审项中需要提供原件的，供应商须提供证明材料的原件，否则该项不得分。</w:t>
      </w:r>
    </w:p>
    <w:p>
      <w:pPr>
        <w:snapToGrid w:val="0"/>
        <w:spacing w:line="560" w:lineRule="exact"/>
        <w:ind w:firstLine="643"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b/>
          <w:sz w:val="32"/>
          <w:szCs w:val="32"/>
        </w:rPr>
        <w:t>2、若提供虚假证明材料，一经查证，取消中标资格，同时没收投标保证金。</w:t>
      </w:r>
    </w:p>
    <w:p>
      <w:pPr>
        <w:snapToGrid w:val="0"/>
        <w:spacing w:line="560" w:lineRule="exact"/>
        <w:ind w:firstLine="640" w:firstLineChars="200"/>
        <w:rPr>
          <w:rStyle w:val="22"/>
          <w:rFonts w:ascii="楷体" w:hAnsi="楷体" w:eastAsia="楷体" w:cs="楷体"/>
          <w:bCs/>
          <w:sz w:val="32"/>
          <w:szCs w:val="32"/>
        </w:rPr>
      </w:pPr>
      <w:r>
        <w:rPr>
          <w:rStyle w:val="22"/>
          <w:rFonts w:hint="eastAsia" w:ascii="楷体" w:hAnsi="楷体" w:eastAsia="楷体" w:cs="楷体"/>
          <w:bCs/>
          <w:sz w:val="32"/>
          <w:szCs w:val="32"/>
        </w:rPr>
        <w:t>（二）商务磋商报价评分：（30分）</w:t>
      </w:r>
    </w:p>
    <w:p>
      <w:pPr>
        <w:snapToGrid w:val="0"/>
        <w:spacing w:line="560" w:lineRule="exact"/>
        <w:ind w:left="-3" w:firstLine="640" w:firstLineChars="200"/>
        <w:rPr>
          <w:rStyle w:val="22"/>
          <w:rFonts w:ascii="仿宋_GB2312" w:hAnsi="仿宋_GB2312" w:eastAsia="仿宋_GB2312" w:cs="仿宋_GB2312"/>
          <w:b/>
          <w:bCs/>
          <w:sz w:val="32"/>
          <w:szCs w:val="32"/>
        </w:rPr>
      </w:pPr>
      <w:r>
        <w:rPr>
          <w:rStyle w:val="22"/>
          <w:rFonts w:hint="eastAsia" w:ascii="仿宋_GB2312" w:hAnsi="仿宋_GB2312" w:eastAsia="仿宋_GB2312" w:cs="仿宋_GB2312"/>
          <w:sz w:val="32"/>
          <w:szCs w:val="32"/>
        </w:rPr>
        <w:t>1、</w:t>
      </w:r>
      <w:r>
        <w:rPr>
          <w:rStyle w:val="22"/>
          <w:rFonts w:hint="eastAsia" w:ascii="仿宋_GB2312" w:hAnsi="仿宋_GB2312" w:eastAsia="仿宋_GB2312" w:cs="仿宋_GB2312"/>
          <w:b/>
          <w:bCs/>
          <w:sz w:val="32"/>
          <w:szCs w:val="32"/>
        </w:rPr>
        <w:t>本项目投标报价按营业额计算，结算比例为营业收入总额（含税）85%，超过该限价作无效磋商处理。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2、满足磋商文件要求且最后报价最低的供应商的价格，定为磋商基准价，其价格分为满分。其他供应商的价格分统一按照下列公式计算：</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商务报价得分 =（磋商基准价/最后磋商报价）×30 %×100</w:t>
      </w:r>
    </w:p>
    <w:p>
      <w:pPr>
        <w:snapToGrid w:val="0"/>
        <w:spacing w:line="560" w:lineRule="exact"/>
        <w:ind w:firstLine="640" w:firstLineChars="200"/>
        <w:rPr>
          <w:rStyle w:val="22"/>
          <w:rFonts w:ascii="楷体" w:hAnsi="楷体" w:eastAsia="楷体" w:cs="楷体"/>
          <w:bCs/>
          <w:sz w:val="32"/>
          <w:szCs w:val="32"/>
        </w:rPr>
      </w:pPr>
      <w:r>
        <w:rPr>
          <w:rStyle w:val="22"/>
          <w:rFonts w:hint="eastAsia" w:ascii="楷体" w:hAnsi="楷体" w:eastAsia="楷体" w:cs="楷体"/>
          <w:bCs/>
          <w:sz w:val="32"/>
          <w:szCs w:val="32"/>
        </w:rPr>
        <w:t>（三）评审争议</w:t>
      </w:r>
    </w:p>
    <w:p>
      <w:pPr>
        <w:snapToGrid w:val="0"/>
        <w:spacing w:line="56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磋商评审时，磋商小组成员对评审的细则若有争议，由磋商小组成员集体讨论确定，并对未尽情况有最终解释权。</w:t>
      </w:r>
    </w:p>
    <w:p>
      <w:pPr>
        <w:snapToGrid w:val="0"/>
        <w:spacing w:line="560" w:lineRule="exact"/>
        <w:ind w:firstLine="640" w:firstLineChars="200"/>
        <w:rPr>
          <w:rStyle w:val="22"/>
          <w:rFonts w:ascii="楷体" w:hAnsi="楷体" w:eastAsia="楷体" w:cs="楷体"/>
          <w:bCs/>
          <w:sz w:val="32"/>
          <w:szCs w:val="32"/>
        </w:rPr>
      </w:pPr>
      <w:r>
        <w:rPr>
          <w:rStyle w:val="22"/>
          <w:rFonts w:hint="eastAsia" w:ascii="楷体" w:hAnsi="楷体" w:eastAsia="楷体" w:cs="楷体"/>
          <w:bCs/>
          <w:sz w:val="32"/>
          <w:szCs w:val="32"/>
        </w:rPr>
        <w:t>（四）落标原因的解释</w:t>
      </w:r>
    </w:p>
    <w:p>
      <w:pPr>
        <w:snapToGrid w:val="0"/>
        <w:spacing w:line="560" w:lineRule="exact"/>
        <w:ind w:firstLine="640" w:firstLineChars="200"/>
        <w:rPr>
          <w:rStyle w:val="22"/>
          <w:rFonts w:ascii="宋体" w:hAnsi="宋体"/>
          <w:sz w:val="24"/>
          <w:szCs w:val="24"/>
        </w:rPr>
      </w:pPr>
      <w:r>
        <w:rPr>
          <w:rStyle w:val="22"/>
          <w:rFonts w:hint="eastAsia" w:ascii="仿宋_GB2312" w:hAnsi="仿宋_GB2312" w:eastAsia="仿宋_GB2312" w:cs="仿宋_GB2312"/>
          <w:sz w:val="32"/>
          <w:szCs w:val="32"/>
        </w:rPr>
        <w:t>磋商小组成员或磋商小组不对落标的磋商响应供应商做落标原因的解释。</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六、出现下列情形之一的，作无效磋商处理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1、未按时交纳磋商保证金或金额不足的；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2、磋商响应文件未按规定要求装订、密封、签署、盖章及资料不齐全的；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3、磋商响应文件的资料有虚报或者谎报的；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4、磋商响应文件技术部分出现磋商报价的内容；</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5、不具备磋商文件规定的资格要求的；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6、磋商响应文件有重大漏项或重大不合理的；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7、项目技术、方案不满足项目需求中的要求，有重大偏离或保留的；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8、磋商响应报价超出项目年度委托服务限价的；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9、被认定为低于成本报价而磋商竞标的；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10、供应商的磋商报价高于自己前一轮的。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11、不符合法律、法规和磋商文件中规定的实质性响应要求的；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12、磋商小组认定为其他情况可确定为无效投标的。</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七、出现下列情形之一的，作废标处理</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1、供应商的报价均超出了采购预算，采购人不能支付的；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2、因情况变化，不再符合规定的竞争性磋商采购方式所适用情形的；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3、除本章第三条第10、11款规定的情形外，在采购过程中符合要求的供应商不足3家的。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4、出现影响采购公正的违法、违规行为的；</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5、因重大变故，采购任务取消的。</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八、开标结束后7个工作日内，招标人对于本次招标确定的第一中标候选单位进行实地考察，一旦发现与投标文件不符，将取消中标资格。招标人将重新确定中标人或重新招标。</w:t>
      </w:r>
    </w:p>
    <w:p>
      <w:pPr>
        <w:snapToGrid w:val="0"/>
        <w:spacing w:line="560" w:lineRule="exact"/>
        <w:ind w:firstLine="646" w:firstLineChars="202"/>
        <w:rPr>
          <w:rStyle w:val="22"/>
          <w:rFonts w:ascii="楷体" w:hAnsi="楷体" w:eastAsia="楷体" w:cs="楷体"/>
          <w:bCs/>
          <w:sz w:val="32"/>
          <w:szCs w:val="32"/>
        </w:rPr>
      </w:pPr>
      <w:r>
        <w:rPr>
          <w:rStyle w:val="22"/>
          <w:rFonts w:hint="eastAsia" w:ascii="楷体" w:hAnsi="楷体" w:eastAsia="楷体" w:cs="楷体"/>
          <w:bCs/>
          <w:sz w:val="32"/>
          <w:szCs w:val="32"/>
        </w:rPr>
        <w:t>九、成交通知</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1、竞争性磋商结束后，招标采购人将成交结果在指定媒体上公示1个工作日，同时向成交供应商发出《成交通知书》。</w:t>
      </w:r>
    </w:p>
    <w:p>
      <w:pPr>
        <w:snapToGrid w:val="0"/>
        <w:spacing w:line="560" w:lineRule="exact"/>
        <w:ind w:firstLine="646" w:firstLineChars="202"/>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2、《成交通知书》一经发出，即具有法律效力。采购人、成交供应商依法承担法律责任。</w:t>
      </w:r>
    </w:p>
    <w:p>
      <w:pPr>
        <w:snapToGrid w:val="0"/>
        <w:spacing w:line="560" w:lineRule="exact"/>
        <w:ind w:firstLine="960" w:firstLineChars="300"/>
        <w:rPr>
          <w:rStyle w:val="22"/>
          <w:rFonts w:ascii="仿宋_GB2312" w:hAnsi="仿宋_GB2312" w:eastAsia="仿宋_GB2312" w:cs="仿宋_GB2312"/>
          <w:sz w:val="32"/>
          <w:szCs w:val="32"/>
        </w:rPr>
      </w:pPr>
    </w:p>
    <w:p>
      <w:pPr>
        <w:snapToGrid w:val="0"/>
        <w:ind w:firstLine="960" w:firstLineChars="300"/>
        <w:rPr>
          <w:rStyle w:val="22"/>
          <w:rFonts w:ascii="宋体" w:hAnsi="宋体"/>
          <w:sz w:val="32"/>
          <w:szCs w:val="32"/>
        </w:rPr>
      </w:pPr>
    </w:p>
    <w:p>
      <w:pPr>
        <w:snapToGrid w:val="0"/>
        <w:ind w:firstLine="960" w:firstLineChars="300"/>
        <w:rPr>
          <w:rStyle w:val="22"/>
          <w:rFonts w:ascii="宋体" w:hAnsi="宋体"/>
          <w:sz w:val="32"/>
          <w:szCs w:val="32"/>
        </w:rPr>
      </w:pPr>
    </w:p>
    <w:p>
      <w:pPr>
        <w:snapToGrid w:val="0"/>
        <w:ind w:firstLine="960" w:firstLineChars="300"/>
        <w:rPr>
          <w:rStyle w:val="22"/>
          <w:rFonts w:ascii="宋体" w:hAnsi="宋体"/>
          <w:sz w:val="32"/>
          <w:szCs w:val="32"/>
        </w:rPr>
      </w:pPr>
    </w:p>
    <w:p>
      <w:pPr>
        <w:snapToGrid w:val="0"/>
        <w:ind w:firstLine="960" w:firstLineChars="300"/>
        <w:rPr>
          <w:rStyle w:val="22"/>
          <w:rFonts w:ascii="宋体" w:hAnsi="宋体"/>
          <w:sz w:val="32"/>
          <w:szCs w:val="32"/>
        </w:rPr>
      </w:pPr>
    </w:p>
    <w:p>
      <w:pPr>
        <w:snapToGrid w:val="0"/>
        <w:ind w:firstLine="960" w:firstLineChars="300"/>
        <w:rPr>
          <w:rStyle w:val="22"/>
          <w:rFonts w:ascii="宋体" w:hAnsi="宋体"/>
          <w:sz w:val="32"/>
          <w:szCs w:val="32"/>
        </w:rPr>
      </w:pPr>
      <w:r>
        <w:rPr>
          <w:rStyle w:val="22"/>
          <w:rFonts w:ascii="宋体" w:hAnsi="宋体"/>
          <w:sz w:val="32"/>
          <w:szCs w:val="32"/>
        </w:rPr>
        <w:br w:type="page"/>
      </w:r>
    </w:p>
    <w:p>
      <w:pPr>
        <w:snapToGrid w:val="0"/>
        <w:ind w:firstLine="1325" w:firstLineChars="300"/>
        <w:rPr>
          <w:rStyle w:val="22"/>
          <w:rFonts w:ascii="宋体" w:hAnsi="宋体"/>
          <w:b/>
          <w:bCs/>
          <w:sz w:val="44"/>
          <w:szCs w:val="44"/>
        </w:rPr>
      </w:pPr>
      <w:r>
        <w:rPr>
          <w:rStyle w:val="22"/>
          <w:rFonts w:ascii="宋体" w:hAnsi="宋体"/>
          <w:b/>
          <w:bCs/>
          <w:sz w:val="44"/>
          <w:szCs w:val="44"/>
        </w:rPr>
        <w:t>第五部分  拟签订的合同文本</w:t>
      </w:r>
    </w:p>
    <w:p>
      <w:pPr>
        <w:ind w:firstLine="840" w:firstLineChars="300"/>
        <w:rPr>
          <w:rFonts w:ascii="方正小标宋简体" w:hAnsi="宋体" w:eastAsia="方正小标宋简体" w:cs="宋体"/>
          <w:sz w:val="28"/>
          <w:szCs w:val="28"/>
        </w:rPr>
      </w:pPr>
    </w:p>
    <w:p>
      <w:pPr>
        <w:rPr>
          <w:rFonts w:ascii="方正小标宋简体" w:hAnsi="宋体" w:eastAsia="方正小标宋简体" w:cs="宋体"/>
          <w:sz w:val="32"/>
          <w:szCs w:val="32"/>
        </w:rPr>
      </w:pPr>
    </w:p>
    <w:p>
      <w:pPr>
        <w:rPr>
          <w:rFonts w:ascii="方正小标宋简体" w:hAnsi="宋体" w:eastAsia="方正小标宋简体" w:cs="宋体"/>
          <w:sz w:val="32"/>
          <w:szCs w:val="32"/>
        </w:rPr>
      </w:pPr>
    </w:p>
    <w:p>
      <w:pPr>
        <w:pStyle w:val="10"/>
        <w:ind w:firstLine="210"/>
      </w:pP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南通市创聚商贸有限公司</w:t>
      </w:r>
    </w:p>
    <w:p>
      <w:pPr>
        <w:pStyle w:val="4"/>
        <w:rPr>
          <w:rFonts w:ascii="方正小标宋_GBK" w:hAnsi="方正小标宋_GBK" w:eastAsia="方正小标宋_GBK" w:cs="方正小标宋_GBK"/>
          <w:sz w:val="44"/>
          <w:szCs w:val="44"/>
        </w:rPr>
      </w:pPr>
    </w:p>
    <w:p>
      <w:pPr>
        <w:spacing w:line="560" w:lineRule="exact"/>
        <w:jc w:val="center"/>
        <w:rPr>
          <w:b/>
          <w:bCs/>
          <w:sz w:val="48"/>
          <w:szCs w:val="48"/>
        </w:rPr>
      </w:pPr>
      <w:r>
        <w:rPr>
          <w:rFonts w:hint="eastAsia" w:ascii="方正小标宋_GBK" w:hAnsi="方正小标宋_GBK" w:eastAsia="方正小标宋_GBK" w:cs="方正小标宋_GBK"/>
          <w:spacing w:val="60"/>
          <w:sz w:val="44"/>
          <w:szCs w:val="44"/>
        </w:rPr>
        <w:t>合作合同</w:t>
      </w:r>
    </w:p>
    <w:p>
      <w:pPr>
        <w:spacing w:after="120" w:line="560" w:lineRule="exact"/>
        <w:rPr>
          <w:szCs w:val="22"/>
        </w:rPr>
      </w:pPr>
    </w:p>
    <w:p>
      <w:pPr>
        <w:spacing w:after="120" w:line="560" w:lineRule="exact"/>
        <w:rPr>
          <w:szCs w:val="22"/>
        </w:rPr>
      </w:pPr>
    </w:p>
    <w:p>
      <w:pPr>
        <w:spacing w:after="120" w:line="560" w:lineRule="exact"/>
        <w:rPr>
          <w:szCs w:val="22"/>
        </w:rPr>
      </w:pPr>
    </w:p>
    <w:p>
      <w:pPr>
        <w:spacing w:after="120" w:line="560" w:lineRule="exact"/>
        <w:rPr>
          <w:szCs w:val="22"/>
        </w:rPr>
      </w:pPr>
    </w:p>
    <w:p>
      <w:pPr>
        <w:pStyle w:val="4"/>
      </w:pPr>
    </w:p>
    <w:p>
      <w:pPr>
        <w:widowControl w:val="0"/>
        <w:adjustRightInd w:val="0"/>
        <w:snapToGrid w:val="0"/>
        <w:spacing w:line="560" w:lineRule="exact"/>
        <w:ind w:firstLine="562" w:firstLineChars="200"/>
        <w:textAlignment w:val="auto"/>
        <w:rPr>
          <w:rFonts w:ascii="宋体" w:hAnsi="宋体"/>
          <w:b/>
          <w:sz w:val="28"/>
          <w:szCs w:val="36"/>
          <w:u w:val="single"/>
        </w:rPr>
      </w:pPr>
      <w:r>
        <w:rPr>
          <w:rFonts w:hint="eastAsia" w:ascii="宋体" w:hAnsi="宋体"/>
          <w:b/>
          <w:sz w:val="28"/>
          <w:szCs w:val="36"/>
        </w:rPr>
        <w:t>编号：</w:t>
      </w:r>
    </w:p>
    <w:p>
      <w:pPr>
        <w:adjustRightInd w:val="0"/>
        <w:snapToGrid w:val="0"/>
        <w:spacing w:line="560" w:lineRule="exact"/>
        <w:ind w:firstLine="562" w:firstLineChars="200"/>
        <w:rPr>
          <w:rFonts w:ascii="宋体" w:hAnsi="宋体"/>
          <w:b/>
          <w:sz w:val="28"/>
          <w:szCs w:val="36"/>
          <w:u w:val="single"/>
        </w:rPr>
      </w:pPr>
    </w:p>
    <w:p>
      <w:pPr>
        <w:adjustRightInd w:val="0"/>
        <w:snapToGrid w:val="0"/>
        <w:spacing w:line="560" w:lineRule="exact"/>
        <w:ind w:firstLine="562" w:firstLineChars="200"/>
        <w:rPr>
          <w:rFonts w:ascii="宋体" w:hAnsi="宋体"/>
          <w:b/>
          <w:sz w:val="28"/>
          <w:szCs w:val="36"/>
          <w:u w:val="single"/>
        </w:rPr>
      </w:pPr>
      <w:r>
        <w:rPr>
          <w:rFonts w:hint="eastAsia" w:ascii="黑体" w:hAnsi="黑体" w:eastAsia="黑体" w:cs="黑体"/>
          <w:b/>
          <w:sz w:val="28"/>
          <w:szCs w:val="36"/>
        </w:rPr>
        <w:t>甲    方</w:t>
      </w:r>
      <w:r>
        <w:rPr>
          <w:rFonts w:hint="eastAsia" w:ascii="宋体" w:hAnsi="宋体"/>
          <w:b/>
          <w:sz w:val="28"/>
          <w:szCs w:val="36"/>
        </w:rPr>
        <w:t>：</w:t>
      </w:r>
      <w:r>
        <w:rPr>
          <w:rFonts w:hint="eastAsia" w:ascii="宋体" w:hAnsi="宋体"/>
          <w:b/>
          <w:sz w:val="28"/>
          <w:szCs w:val="36"/>
          <w:u w:val="single"/>
        </w:rPr>
        <w:t xml:space="preserve">  南通市创聚商贸有限公司              </w:t>
      </w:r>
    </w:p>
    <w:p>
      <w:pPr>
        <w:adjustRightInd w:val="0"/>
        <w:snapToGrid w:val="0"/>
        <w:spacing w:line="560" w:lineRule="exact"/>
        <w:ind w:firstLine="562" w:firstLineChars="200"/>
        <w:rPr>
          <w:rFonts w:ascii="宋体" w:hAnsi="宋体"/>
          <w:b/>
          <w:sz w:val="28"/>
          <w:szCs w:val="36"/>
          <w:u w:val="single"/>
        </w:rPr>
      </w:pPr>
    </w:p>
    <w:p>
      <w:pPr>
        <w:adjustRightInd w:val="0"/>
        <w:snapToGrid w:val="0"/>
        <w:spacing w:line="560" w:lineRule="exact"/>
        <w:ind w:firstLine="562" w:firstLineChars="200"/>
        <w:rPr>
          <w:rFonts w:hint="eastAsia" w:ascii="宋体" w:hAnsi="宋体"/>
          <w:b/>
          <w:sz w:val="28"/>
          <w:szCs w:val="36"/>
        </w:rPr>
      </w:pPr>
      <w:r>
        <w:rPr>
          <w:rFonts w:hint="eastAsia" w:ascii="宋体" w:hAnsi="宋体"/>
          <w:b/>
          <w:sz w:val="28"/>
          <w:szCs w:val="36"/>
        </w:rPr>
        <w:t>乙    方：</w:t>
      </w:r>
    </w:p>
    <w:p>
      <w:pPr>
        <w:pStyle w:val="2"/>
      </w:pPr>
    </w:p>
    <w:p>
      <w:pPr>
        <w:adjustRightInd w:val="0"/>
        <w:snapToGrid w:val="0"/>
        <w:spacing w:line="560" w:lineRule="exact"/>
        <w:ind w:firstLine="562" w:firstLineChars="200"/>
        <w:rPr>
          <w:rFonts w:ascii="宋体" w:hAnsi="宋体"/>
          <w:b/>
          <w:sz w:val="28"/>
          <w:szCs w:val="36"/>
          <w:u w:val="single"/>
        </w:rPr>
      </w:pPr>
      <w:r>
        <w:rPr>
          <w:rFonts w:hint="eastAsia" w:ascii="宋体" w:hAnsi="宋体"/>
          <w:b/>
          <w:sz w:val="28"/>
          <w:szCs w:val="36"/>
        </w:rPr>
        <w:t>签订地点：</w:t>
      </w:r>
    </w:p>
    <w:p>
      <w:pPr>
        <w:adjustRightInd w:val="0"/>
        <w:snapToGrid w:val="0"/>
        <w:spacing w:line="560" w:lineRule="exact"/>
        <w:ind w:firstLine="562" w:firstLineChars="200"/>
        <w:jc w:val="center"/>
        <w:rPr>
          <w:rFonts w:ascii="宋体" w:hAnsi="宋体"/>
          <w:b/>
          <w:sz w:val="28"/>
          <w:szCs w:val="36"/>
        </w:rPr>
      </w:pPr>
    </w:p>
    <w:p>
      <w:pPr>
        <w:adjustRightInd w:val="0"/>
        <w:snapToGrid w:val="0"/>
        <w:spacing w:line="560" w:lineRule="exact"/>
        <w:ind w:firstLine="562" w:firstLineChars="200"/>
        <w:rPr>
          <w:rFonts w:ascii="宋体" w:hAnsi="宋体"/>
          <w:b/>
          <w:sz w:val="28"/>
          <w:szCs w:val="36"/>
        </w:rPr>
      </w:pPr>
      <w:r>
        <w:rPr>
          <w:rFonts w:hint="eastAsia" w:ascii="宋体" w:hAnsi="宋体"/>
          <w:b/>
          <w:sz w:val="28"/>
          <w:szCs w:val="36"/>
        </w:rPr>
        <w:t>签订日期：_________年_______月_______日</w:t>
      </w:r>
    </w:p>
    <w:p>
      <w:pPr>
        <w:rPr>
          <w:rFonts w:ascii="仿宋_GB2312" w:hAnsi="仿宋" w:eastAsia="仿宋_GB2312" w:cs="仿宋"/>
          <w:sz w:val="28"/>
          <w:szCs w:val="28"/>
        </w:rPr>
      </w:pP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甲方（委托方）：</w:t>
      </w:r>
      <w:r>
        <w:rPr>
          <w:rFonts w:hint="eastAsia" w:ascii="仿宋_GB2312" w:hAnsi="仿宋_GB2312" w:eastAsia="仿宋_GB2312" w:cs="仿宋_GB2312"/>
          <w:sz w:val="32"/>
          <w:szCs w:val="32"/>
          <w:u w:val="single"/>
        </w:rPr>
        <w:t xml:space="preserve"> 南通市创聚商贸有限公司               </w:t>
      </w: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联系地址:  </w:t>
      </w:r>
      <w:r>
        <w:rPr>
          <w:rFonts w:hint="eastAsia" w:ascii="仿宋_GB2312" w:hAnsi="仿宋_GB2312" w:eastAsia="仿宋_GB2312" w:cs="仿宋_GB2312"/>
          <w:sz w:val="32"/>
          <w:szCs w:val="32"/>
          <w:u w:val="single"/>
        </w:rPr>
        <w:t xml:space="preserve"> 南通市海门区海门街道东海东路286号                             </w:t>
      </w:r>
    </w:p>
    <w:p>
      <w:pPr>
        <w:spacing w:line="560" w:lineRule="exact"/>
        <w:textAlignment w:val="auto"/>
        <w:rPr>
          <w:rFonts w:ascii="仿宋_GB2312" w:hAnsi="仿宋_GB2312" w:eastAsia="仿宋_GB2312" w:cs="仿宋_GB2312"/>
          <w:sz w:val="32"/>
          <w:szCs w:val="32"/>
        </w:rPr>
      </w:pP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乙方（供货方）：</w:t>
      </w:r>
    </w:p>
    <w:p>
      <w:pPr>
        <w:spacing w:line="560" w:lineRule="exac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联系地址:  </w:t>
      </w:r>
    </w:p>
    <w:p>
      <w:pPr>
        <w:spacing w:line="560" w:lineRule="exact"/>
        <w:textAlignment w:val="auto"/>
        <w:rPr>
          <w:rFonts w:ascii="仿宋_GB2312" w:hAnsi="仿宋_GB2312" w:eastAsia="仿宋_GB2312" w:cs="仿宋_GB2312"/>
          <w:sz w:val="32"/>
          <w:szCs w:val="32"/>
          <w:u w:val="single"/>
        </w:rPr>
      </w:pP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甲、乙双方经过友好协商，本着互惠互利，共同发展的原则，依据《中华人民共和国民法典》及相关法律、法规之规定，签订以下合作合同：</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一、合同期限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zh-CN"/>
        </w:rPr>
        <w:t>本合同有效期限：自本</w:t>
      </w:r>
      <w:r>
        <w:rPr>
          <w:rFonts w:hint="eastAsia" w:ascii="仿宋_GB2312" w:hAnsi="仿宋_GB2312" w:eastAsia="仿宋_GB2312" w:cs="仿宋_GB2312"/>
          <w:sz w:val="32"/>
          <w:szCs w:val="32"/>
        </w:rPr>
        <w:t>合同签订之日起至2023年5月31日止。</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二、合作模式</w:t>
      </w:r>
    </w:p>
    <w:p>
      <w:pPr>
        <w:pStyle w:val="2"/>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乙方为甲方的海门区机关超市（南通市海门区北京中路600号海门机关超市）提供生鲜商品、粮油调味、休闲食品、家庭生活用品等（含海门区内甲方所有的自动售卖机商品销售业务）。</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三、服务内容及要求</w:t>
      </w:r>
    </w:p>
    <w:p>
      <w:pPr>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bidi="zh-CN"/>
        </w:rPr>
        <w:t>（一）商品要求：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1.商品品类：休闲食品、粮油调味品、日配品、家庭生活用品4大类。</w:t>
      </w:r>
    </w:p>
    <w:p>
      <w:pPr>
        <w:pStyle w:val="82"/>
        <w:spacing w:line="560" w:lineRule="exact"/>
        <w:ind w:firstLine="640"/>
        <w:textAlignment w:val="auto"/>
        <w:rPr>
          <w:rFonts w:eastAsia="仿宋_GB2312" w:cs="仿宋_GB2312"/>
          <w:sz w:val="32"/>
          <w:szCs w:val="32"/>
        </w:rPr>
      </w:pPr>
      <w:r>
        <w:rPr>
          <w:rFonts w:hint="eastAsia" w:eastAsia="仿宋_GB2312" w:cs="仿宋_GB2312"/>
          <w:sz w:val="32"/>
          <w:szCs w:val="32"/>
        </w:rPr>
        <w:t>（1）休闲食品：饮用水、果汁饮料、茶饮、奶饮、碳酸饮料、饼干糕点、膨化食品、炒货、糖果蜜饯、进口食品、网红食品等；</w:t>
      </w:r>
    </w:p>
    <w:p>
      <w:pPr>
        <w:pStyle w:val="82"/>
        <w:spacing w:line="560" w:lineRule="exact"/>
        <w:ind w:firstLine="640"/>
        <w:textAlignment w:val="auto"/>
        <w:rPr>
          <w:rFonts w:eastAsia="仿宋_GB2312" w:cs="仿宋_GB2312"/>
          <w:sz w:val="32"/>
          <w:szCs w:val="32"/>
        </w:rPr>
      </w:pPr>
      <w:r>
        <w:rPr>
          <w:rFonts w:hint="eastAsia" w:eastAsia="仿宋_GB2312" w:cs="仿宋_GB2312"/>
          <w:sz w:val="32"/>
          <w:szCs w:val="32"/>
        </w:rPr>
        <w:t>（2）粮油调味品：米、面、油、酱油、醋、料酒、味精、鸡精、盐、火锅调料等；</w:t>
      </w:r>
    </w:p>
    <w:p>
      <w:pPr>
        <w:pStyle w:val="82"/>
        <w:spacing w:line="560" w:lineRule="exact"/>
        <w:ind w:firstLine="640"/>
        <w:textAlignment w:val="auto"/>
        <w:rPr>
          <w:rFonts w:eastAsia="仿宋_GB2312" w:cs="仿宋_GB2312"/>
          <w:sz w:val="32"/>
          <w:szCs w:val="32"/>
        </w:rPr>
      </w:pPr>
      <w:r>
        <w:rPr>
          <w:rFonts w:hint="eastAsia" w:eastAsia="仿宋_GB2312" w:cs="仿宋_GB2312"/>
          <w:sz w:val="32"/>
          <w:szCs w:val="32"/>
        </w:rPr>
        <w:t>（3）日配品：牛奶、酸奶、奶酪、汤圆、水饺、冰淇淋等；</w:t>
      </w:r>
    </w:p>
    <w:p>
      <w:pPr>
        <w:pStyle w:val="82"/>
        <w:spacing w:line="560" w:lineRule="exact"/>
        <w:ind w:firstLine="640"/>
        <w:textAlignment w:val="auto"/>
        <w:rPr>
          <w:rFonts w:eastAsia="仿宋_GB2312" w:cs="仿宋_GB2312"/>
          <w:sz w:val="32"/>
          <w:szCs w:val="32"/>
        </w:rPr>
      </w:pPr>
      <w:r>
        <w:rPr>
          <w:rFonts w:hint="eastAsia" w:eastAsia="仿宋_GB2312" w:cs="仿宋_GB2312"/>
          <w:sz w:val="32"/>
          <w:szCs w:val="32"/>
        </w:rPr>
        <w:t>（4）家庭生活用品：厨房用品、洗护品、进口洗护品、家用纺织品、进口家用品等；</w:t>
      </w:r>
    </w:p>
    <w:p>
      <w:pPr>
        <w:pStyle w:val="82"/>
        <w:spacing w:line="560" w:lineRule="exact"/>
        <w:ind w:firstLine="640"/>
        <w:textAlignment w:val="auto"/>
        <w:rPr>
          <w:rFonts w:eastAsia="仿宋_GB2312" w:cs="仿宋_GB2312"/>
          <w:sz w:val="32"/>
          <w:szCs w:val="32"/>
        </w:rPr>
      </w:pPr>
      <w:r>
        <w:rPr>
          <w:rFonts w:hint="eastAsia" w:eastAsia="仿宋_GB2312" w:cs="仿宋_GB2312"/>
          <w:sz w:val="32"/>
          <w:szCs w:val="32"/>
        </w:rPr>
        <w:t>（5）其他品类：甲方要求增加及乙方提报并经甲方同意的其他类商品。</w:t>
      </w:r>
    </w:p>
    <w:p>
      <w:pPr>
        <w:pStyle w:val="82"/>
        <w:spacing w:line="560" w:lineRule="exact"/>
        <w:ind w:firstLine="640"/>
        <w:textAlignment w:val="auto"/>
        <w:rPr>
          <w:rFonts w:eastAsia="仿宋_GB2312" w:cs="仿宋_GB2312"/>
          <w:sz w:val="32"/>
          <w:szCs w:val="32"/>
        </w:rPr>
      </w:pPr>
      <w:r>
        <w:rPr>
          <w:rFonts w:hint="eastAsia" w:eastAsia="仿宋_GB2312" w:cs="仿宋_GB2312"/>
          <w:sz w:val="32"/>
          <w:szCs w:val="32"/>
        </w:rPr>
        <w:t>2.商品品牌：各类商品品牌包含但不限于《销售产品品牌明细表》（详见附件）</w:t>
      </w:r>
    </w:p>
    <w:p>
      <w:pPr>
        <w:pStyle w:val="4"/>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3.商品价格：商品价格由乙方确定，甲方负责监管与督查，确保零售价格不高于同期海门地区大润发、利群、文峰等超市在售同类商品的市场价格（促销商品除外）。</w:t>
      </w:r>
    </w:p>
    <w:p>
      <w:pPr>
        <w:spacing w:line="560" w:lineRule="exact"/>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品质要求：严格遵守《中华人民共和国食品安全法》等法律、法规及国家相关政策，杜绝三无商品，所有商品应是正规厂家生产的产品，不得出售不洁、过期、变质的食品，商品须在距保质期末剩2/3时间内销售，严格保证产品质量符合国家相关产品质量标准，符合国家各级强制性规范的要求。</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（二）服务要求：</w:t>
      </w:r>
    </w:p>
    <w:p>
      <w:pPr>
        <w:spacing w:line="560" w:lineRule="exact"/>
        <w:ind w:left="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硬件配备：乙方须根据机关超市的建筑格局进行合理设计，乙方须自行配备全新货架、冷冻柜、冷藏柜、灯光、监控设备等，具体数量及要求以现场和甲方实际需求为准，完成时间根据甲方要求。如涉及相关改造及恢复的，相关费用由乙方自行承担。</w:t>
      </w:r>
      <w:r>
        <w:rPr>
          <w:rFonts w:hint="eastAsia" w:ascii="仿宋_GB2312" w:hAnsi="仿宋_GB2312" w:eastAsia="仿宋_GB2312" w:cs="仿宋_GB2312"/>
          <w:sz w:val="32"/>
          <w:szCs w:val="32"/>
          <w:highlight w:val="none"/>
        </w:rPr>
        <w:t>合作期满后，硬件设施设备须在15个工作日内由乙方自行处理，若乙方拖延处理，甲方可对硬件设施设备处置，所涉费用由乙方承担。</w:t>
      </w:r>
    </w:p>
    <w:p>
      <w:pPr>
        <w:spacing w:line="560" w:lineRule="exact"/>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2.软件设备：乙方须使用甲方指定的乐檬系统，完成系统商品档案建立及系统库存管理工作，并执行日常商品实物盘点。乙方的收银工作必须在甲方指定的乐檬系统内完成，不得私自销售私自收银。</w:t>
      </w:r>
    </w:p>
    <w:p>
      <w:pPr>
        <w:spacing w:line="560" w:lineRule="exact"/>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3.商品服务：乙方须根据货架设定，自主完成商品上架铺货、价签更新、铺面盘点、商品补换货等工作，确保货架无空段，价签无误，陈列商品可售，同时乙方须提供产品预售服务。</w:t>
      </w:r>
    </w:p>
    <w:p>
      <w:pPr>
        <w:spacing w:line="560" w:lineRule="exact"/>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4.到货要求：乙方必须遵守甲方及甲方业主单位规章制度和上级要求，文明服务，商品供货配送须在指定时间段内完成，紧急情况须经过甲方批准。</w:t>
      </w:r>
    </w:p>
    <w:p>
      <w:pPr>
        <w:spacing w:line="560" w:lineRule="exact"/>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5.乙方需无条件接受甲方委派人员，委派人员参与经营业务中的服务工作，工资由甲方承担。</w:t>
      </w:r>
    </w:p>
    <w:p>
      <w:pPr>
        <w:spacing w:line="560" w:lineRule="exact"/>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乙方充分发挥自身经营优势，开展超市营销活动，确保本合同所涉及超市及自动售卖机业务机关超市项目自本合同签订之日起至2023年5月31日止的营业总额不低于225万。因年度末核算销售总额未达目标导致甲方收入分成减少的，减少部分收入分成金额从履约保证金中扣除，履约保证金不足以抵扣的，由乙方在年度供应及服务费中予以扣除。</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四、甲方权利和义务</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（一）甲方权利：</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1.甲方有权要求乙方按照服务内容及要求在一定时间内完成工作任务；</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2.甲方有权要求乙方无条件撤换不符合甲方要求的商品；</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3.甲方有权要求乙方无条件更换不符合甲方要求的商品售价；</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（二）甲方义务：</w:t>
      </w:r>
    </w:p>
    <w:p>
      <w:pPr>
        <w:spacing w:line="560" w:lineRule="exact"/>
        <w:ind w:firstLine="640" w:firstLineChars="200"/>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1.甲方应明确乙方服务内容及要求。</w:t>
      </w:r>
    </w:p>
    <w:p>
      <w:pPr>
        <w:spacing w:line="560" w:lineRule="exact"/>
        <w:ind w:firstLine="640" w:firstLineChars="200"/>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2.甲方须及时并足额支付机关超市的房租、水电费及</w:t>
      </w:r>
      <w:r>
        <w:rPr>
          <w:rFonts w:hint="eastAsia" w:ascii="仿宋_GB2312" w:hAnsi="仿宋_GB2312" w:eastAsia="仿宋_GB2312" w:cs="仿宋_GB2312"/>
          <w:sz w:val="32"/>
          <w:szCs w:val="32"/>
        </w:rPr>
        <w:t>委派人员工资。</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五、乙方权利和义务</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（一）乙方权利：</w:t>
      </w:r>
    </w:p>
    <w:p>
      <w:pPr>
        <w:spacing w:line="560" w:lineRule="exact"/>
        <w:ind w:firstLine="640" w:firstLineChars="200"/>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乙方有权要求甲方按照双方约定的时间结清货款，若甲方故意拖欠，由此导致的损失由甲方承担。</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（二）乙方义务：</w:t>
      </w:r>
    </w:p>
    <w:p>
      <w:pPr>
        <w:spacing w:line="560" w:lineRule="exact"/>
        <w:ind w:left="1"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1.乙方所提供产品不存在危及人身、财产安全的危险，符合保证人体健康和人身财产安全的国家标准、行业标准；</w:t>
      </w:r>
    </w:p>
    <w:p>
      <w:pPr>
        <w:spacing w:line="560" w:lineRule="exact"/>
        <w:ind w:left="1"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乙方所提供产品的外包装应当符合中华人民共和国相关法律法规的规定，用中文标明产品名称、生产厂厂名与厂址、规格、等级、采用的产品标准、质量检验合格证明、使用说明、生产日期和安全使用期或者失效期、警示标志及其他说明等。产品应当印有符合国家规定的条形码，以便于pos机识别； </w:t>
      </w:r>
    </w:p>
    <w:p>
      <w:pPr>
        <w:spacing w:line="560" w:lineRule="exact"/>
        <w:ind w:left="1"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none"/>
        </w:rPr>
        <w:t>乙方有义务保证不存在以下行为，每经甲方发现一例，经查实对乙方处以10000.00元人民币的罚款,乙方须承担因此产生的全部法律责任及经济赔偿责任：</w:t>
      </w:r>
    </w:p>
    <w:p>
      <w:pPr>
        <w:spacing w:line="560" w:lineRule="exact"/>
        <w:ind w:left="1"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（1）在产品中掺杂、掺假、以假充真、以次充好、以不合格产品冒充合格产品；</w:t>
      </w:r>
    </w:p>
    <w:p>
      <w:pPr>
        <w:spacing w:line="560" w:lineRule="exact"/>
        <w:ind w:left="1"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（2）提供国家明令淘汰的产品或变质的产品；</w:t>
      </w:r>
    </w:p>
    <w:p>
      <w:pPr>
        <w:spacing w:line="560" w:lineRule="exact"/>
        <w:ind w:left="1"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（3）伪造产品的产地，伪造或冒用他人的厂名、厂址，伪造或冒用他人的认证标志、名优标志等质量标志；</w:t>
      </w:r>
    </w:p>
    <w:p>
      <w:pPr>
        <w:spacing w:line="560" w:lineRule="exact"/>
        <w:ind w:left="1"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（4）其他致使产品存在瑕疵影响销售或引发售后的行为。</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4.乙方所提供商品不侵犯任何专利、商标、贸易名称、版权及其他知识产权，并承担一切由于上述侵权行为所引起的后果、损失及费用（包括仲裁费、诉讼费、律师费等）。</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六、费用的结算与支付</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（一）货款结算：</w:t>
      </w:r>
    </w:p>
    <w:p>
      <w:pPr>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以营业收入总额（含税）的 %进行结算（含自动售卖机业务）；</w:t>
      </w:r>
      <w:r>
        <w:rPr>
          <w:rFonts w:hint="eastAsia" w:ascii="仿宋_GB2312" w:hAnsi="仿宋_GB2312" w:eastAsia="仿宋_GB2312" w:cs="仿宋_GB2312"/>
          <w:sz w:val="32"/>
        </w:rPr>
        <w:t>合作期内，经营过程中的商品、设施设备、现场改造与恢复、装修装潢、运输费、搬运费、税费等包括但不仅限于以上费用均由乙方承担；合作期内，机关超市的房租、水电费、委派人员（2名）工资由甲方承担。</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（二）付款方式：</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1.甲乙双方采用月结方式进行结算；</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2.双方于当月15日前完成上月（1号至该月月末）营业额</w:t>
      </w:r>
      <w:r>
        <w:rPr>
          <w:rFonts w:hint="eastAsia" w:ascii="仿宋_GB2312" w:hAnsi="仿宋_GB2312" w:eastAsia="仿宋_GB2312" w:cs="仿宋_GB2312"/>
          <w:sz w:val="32"/>
        </w:rPr>
        <w:t>收入总额（含税）</w:t>
      </w:r>
      <w:r>
        <w:rPr>
          <w:rFonts w:hint="eastAsia" w:ascii="仿宋_GB2312" w:hAnsi="仿宋_GB2312" w:eastAsia="仿宋_GB2312" w:cs="仿宋_GB2312"/>
          <w:sz w:val="32"/>
          <w:szCs w:val="32"/>
        </w:rPr>
        <w:t>核算，根据上月（1号至该月月末）</w:t>
      </w:r>
      <w:r>
        <w:rPr>
          <w:rFonts w:hint="eastAsia" w:ascii="仿宋_GB2312" w:hAnsi="仿宋_GB2312" w:eastAsia="仿宋_GB2312" w:cs="仿宋_GB2312"/>
          <w:sz w:val="32"/>
        </w:rPr>
        <w:t xml:space="preserve">营业收入总额（含税）的 </w:t>
      </w:r>
      <w:r>
        <w:rPr>
          <w:rFonts w:hint="eastAsia" w:ascii="仿宋_GB2312" w:hAnsi="仿宋_GB2312" w:eastAsia="仿宋_GB2312" w:cs="仿宋_GB2312"/>
          <w:sz w:val="32"/>
          <w:szCs w:val="32"/>
        </w:rPr>
        <w:t>%结算给乙方，乙方向甲方开具相应金额的增值税专用发票（免税产品可开具增值税普通发票。税率依据相关税收法律、法规，若普惠性税率调整，以不含税金额加调整后税金为结算金额）。</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3.甲方收到发票后15个工作日内向乙方支付相关费用。因乙方对账不及时，迟延提供增值税专用发票，导致甲方延迟付款的，甲方不承担任何责任。 </w:t>
      </w:r>
    </w:p>
    <w:p>
      <w:pPr>
        <w:spacing w:line="560" w:lineRule="exact"/>
        <w:ind w:firstLine="640" w:firstLineChars="200"/>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乙方确认收款账户信息如下：</w:t>
      </w:r>
    </w:p>
    <w:p>
      <w:pPr>
        <w:spacing w:line="560" w:lineRule="exact"/>
        <w:ind w:firstLine="640" w:firstLineChars="200"/>
        <w:textAlignment w:val="auto"/>
        <w:rPr>
          <w:rFonts w:ascii="仿宋_GB2312" w:hAnsi="仿宋_GB2312" w:eastAsia="仿宋_GB2312" w:cs="仿宋_GB2312"/>
          <w:sz w:val="32"/>
          <w:szCs w:val="32"/>
          <w:u w:val="single"/>
          <w:lang w:bidi="zh-CN"/>
        </w:rPr>
      </w:pPr>
      <w:r>
        <w:rPr>
          <w:rFonts w:hint="eastAsia" w:ascii="仿宋_GB2312" w:hAnsi="仿宋_GB2312" w:eastAsia="仿宋_GB2312" w:cs="仿宋_GB2312"/>
          <w:sz w:val="32"/>
          <w:szCs w:val="32"/>
          <w:lang w:bidi="zh-CN"/>
        </w:rPr>
        <w:t>账 户 名：</w:t>
      </w:r>
    </w:p>
    <w:p>
      <w:pPr>
        <w:spacing w:line="560" w:lineRule="exact"/>
        <w:ind w:firstLine="640" w:firstLineChars="200"/>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开户银行：</w:t>
      </w:r>
    </w:p>
    <w:p>
      <w:pPr>
        <w:spacing w:line="560" w:lineRule="exact"/>
        <w:ind w:firstLine="640" w:firstLineChars="200"/>
        <w:textAlignment w:val="auto"/>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账    号：</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七、履约及管理办法</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（一）履约保证金：</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乙方应在合同签订前向甲方交纳</w:t>
      </w:r>
      <w:r>
        <w:rPr>
          <w:rFonts w:hint="eastAsia" w:ascii="仿宋_GB2312" w:hAnsi="仿宋_GB2312" w:eastAsia="仿宋_GB2312" w:cs="仿宋_GB2312"/>
          <w:sz w:val="32"/>
          <w:szCs w:val="32"/>
          <w:u w:val="single"/>
        </w:rPr>
        <w:t>壹拾</w:t>
      </w:r>
      <w:r>
        <w:rPr>
          <w:rFonts w:hint="eastAsia" w:ascii="仿宋_GB2312" w:hAnsi="仿宋_GB2312" w:eastAsia="仿宋_GB2312" w:cs="仿宋_GB2312"/>
          <w:sz w:val="32"/>
          <w:szCs w:val="32"/>
        </w:rPr>
        <w:t>万元人民币的履约保证金；履约过程中，因乙方违约被扣除履约保证金的，乙方必须在扣除之日起3 个工作日内补足</w:t>
      </w:r>
      <w:r>
        <w:rPr>
          <w:rFonts w:hint="eastAsia" w:ascii="仿宋_GB2312" w:hAnsi="仿宋_GB2312" w:eastAsia="仿宋_GB2312" w:cs="仿宋_GB2312"/>
          <w:sz w:val="32"/>
          <w:szCs w:val="32"/>
          <w:highlight w:val="none"/>
        </w:rPr>
        <w:t>，否则按照违约条款处理；</w:t>
      </w:r>
      <w:r>
        <w:rPr>
          <w:rFonts w:hint="eastAsia" w:ascii="仿宋_GB2312" w:hAnsi="仿宋_GB2312" w:eastAsia="仿宋_GB2312" w:cs="仿宋_GB2312"/>
          <w:sz w:val="32"/>
          <w:szCs w:val="32"/>
        </w:rPr>
        <w:t>履约保证金将在甲方与乙方整个合作期满后且无任何质量问题一个月内无息退回。保证金缴纳账户如下：</w:t>
      </w:r>
    </w:p>
    <w:p>
      <w:pPr>
        <w:spacing w:line="560" w:lineRule="exact"/>
        <w:ind w:left="-359" w:leftChars="-171"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公司名称：南通市创聚商贸有限公司</w:t>
      </w:r>
    </w:p>
    <w:p>
      <w:pPr>
        <w:spacing w:line="560" w:lineRule="exact"/>
        <w:ind w:left="-359" w:leftChars="-171"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银行账号：10722901040003556</w:t>
      </w:r>
    </w:p>
    <w:p>
      <w:pPr>
        <w:spacing w:line="560" w:lineRule="exact"/>
        <w:ind w:left="-359" w:leftChars="-171"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开户行：农业银行海门城南支行 </w:t>
      </w:r>
    </w:p>
    <w:p>
      <w:pPr>
        <w:spacing w:line="560" w:lineRule="exact"/>
        <w:ind w:firstLine="640" w:firstLineChars="200"/>
        <w:textAlignment w:val="auto"/>
        <w:rPr>
          <w:rFonts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（二）履约管理：</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所有商品的销售价格均不得高于周边地区超市同类商品市场价格，且明码标价，每经甲方发现一例高于当地超市同类商品价格的，经查实对乙方处以5000.00元人民币的罚款；</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严格遵守《中华人民共和国食品安全法》等法律、法规及国家相关政策，杜绝三无商品，所有商品应是正规厂家生产的产品，不得出售不洁、过期、变质的食品，每经甲方发现一例，经查实对乙方处以10000.00元人民币的罚款,乙方须承担因此产生的全部法律责任及经济赔偿责任；</w:t>
      </w:r>
    </w:p>
    <w:p>
      <w:pPr>
        <w:spacing w:line="56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3. 合作期内双方不得无故解除合同，不可抗力及符合合同约定的除外。合作期内若因乙方原因解除合同的，乙方需承担50000.00元人民币的违约金；</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4.乙方在经营过程中出现下列情形之一，经查实的，甲方有权给予相应处罚或提前终止合同：</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（1）私自从事经营范围以外的项目，未经甲方批准的第一次扣罚履约保证金10000.00元，第二次扣罚50000.00元，第三次终止合同并不予退还履约保证金；</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（2）铺面商品存在货架空段现象、货架产品无法结算等情况，经查实，第一次扣罚履约保证金2000.00元，第二次扣罚5000.00元，第三次扣罚10000.00元，第四次终止合同并扣罚履约保证金50000.00元；</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（3）受到机关单位或消费者的有效投诉，第一次扣罚履约保证金2000.00元，第二次扣罚5000.00元，第三次扣罚10000.00元，第四次终止合同，并扣罚履约保证金50000.00元；</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（4）违背诚信服务原则，损害甲方利益的，一经发现合同立即终止，并扣罚履约保证金50000.00元；</w:t>
      </w:r>
    </w:p>
    <w:p>
      <w:pPr>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（5）服务期内若发生违法违纪的情况，或对甲方作风建设造成严重影响，一经发现合同立即终止，并扣罚履约保证金50000.00元，履约保证金不足以弥补甲方实际损失的，乙方还应</w:t>
      </w:r>
      <w:r>
        <w:rPr>
          <w:rFonts w:hint="eastAsia" w:ascii="仿宋_GB2312" w:hAnsi="仿宋_GB2312" w:eastAsia="仿宋_GB2312" w:cs="仿宋_GB2312"/>
          <w:sz w:val="32"/>
          <w:szCs w:val="32"/>
          <w:highlight w:val="none"/>
        </w:rPr>
        <w:t>赔偿甲方实际损失；</w:t>
      </w:r>
    </w:p>
    <w:p>
      <w:pPr>
        <w:spacing w:line="560" w:lineRule="exact"/>
        <w:ind w:left="1"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5.合作期内因乙方违约被扣除履约保证金的，乙方必须在扣除之日起3 个工作日内补足，若乙方未补足或拒绝补足的，甲方可以扣除当月乙方</w:t>
      </w:r>
      <w:r>
        <w:rPr>
          <w:rStyle w:val="22"/>
          <w:rFonts w:hint="eastAsia" w:ascii="仿宋_GB2312" w:hAnsi="仿宋_GB2312" w:eastAsia="仿宋_GB2312" w:cs="仿宋_GB2312"/>
          <w:sz w:val="32"/>
          <w:szCs w:val="32"/>
          <w:highlight w:val="none"/>
        </w:rPr>
        <w:t>供应及服务费，并</w:t>
      </w:r>
      <w:r>
        <w:rPr>
          <w:rFonts w:hint="eastAsia" w:ascii="仿宋_GB2312" w:hAnsi="仿宋_GB2312" w:eastAsia="仿宋_GB2312" w:cs="仿宋_GB2312"/>
          <w:sz w:val="32"/>
          <w:szCs w:val="32"/>
          <w:highlight w:val="none"/>
        </w:rPr>
        <w:t>直接解除合同、履约保证金不予以退还；</w:t>
      </w:r>
    </w:p>
    <w:p>
      <w:pPr>
        <w:spacing w:line="560" w:lineRule="exact"/>
        <w:ind w:left="1"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6.合作期内甲方将不定期对乙方开展考核工作，考核不合格，甲方可以直接解除合同、履约保证金不予以退还。</w:t>
      </w:r>
    </w:p>
    <w:p>
      <w:pPr>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八、违约责任</w:t>
      </w:r>
    </w:p>
    <w:p>
      <w:pPr>
        <w:pStyle w:val="83"/>
        <w:spacing w:line="560" w:lineRule="exact"/>
        <w:ind w:left="0"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（一）乙方严禁提供以下</w:t>
      </w:r>
      <w:r>
        <w:rPr>
          <w:rFonts w:hint="eastAsia" w:ascii="仿宋_GB2312" w:hAnsi="仿宋_GB2312" w:eastAsia="仿宋_GB2312" w:cs="仿宋_GB2312"/>
          <w:sz w:val="32"/>
          <w:szCs w:val="32"/>
          <w:highlight w:val="none"/>
          <w:lang w:val="en-US"/>
        </w:rPr>
        <w:t>产品</w:t>
      </w:r>
      <w:r>
        <w:rPr>
          <w:rFonts w:hint="eastAsia" w:ascii="仿宋_GB2312" w:hAnsi="仿宋_GB2312" w:eastAsia="仿宋_GB2312" w:cs="仿宋_GB2312"/>
          <w:sz w:val="32"/>
          <w:szCs w:val="32"/>
          <w:highlight w:val="none"/>
        </w:rPr>
        <w:t>，一经发现，甲方</w:t>
      </w:r>
      <w:r>
        <w:rPr>
          <w:rFonts w:hint="eastAsia" w:ascii="仿宋_GB2312" w:hAnsi="仿宋_GB2312" w:eastAsia="仿宋_GB2312" w:cs="仿宋_GB2312"/>
          <w:sz w:val="32"/>
          <w:szCs w:val="32"/>
          <w:highlight w:val="none"/>
          <w:lang w:val="en-US"/>
        </w:rPr>
        <w:t>可</w:t>
      </w:r>
      <w:r>
        <w:rPr>
          <w:rFonts w:hint="eastAsia" w:ascii="仿宋_GB2312" w:hAnsi="仿宋_GB2312" w:eastAsia="仿宋_GB2312" w:cs="仿宋_GB2312"/>
          <w:sz w:val="32"/>
          <w:szCs w:val="32"/>
          <w:highlight w:val="none"/>
        </w:rPr>
        <w:t>立即解除合同，并扣除履约保证金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0000.00元：</w:t>
      </w:r>
    </w:p>
    <w:p>
      <w:pPr>
        <w:pStyle w:val="83"/>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1.无品名、产地、厂名、生产日期、保质期及</w:t>
      </w:r>
      <w:r>
        <w:rPr>
          <w:rFonts w:hint="eastAsia" w:ascii="仿宋_GB2312" w:hAnsi="仿宋_GB2312" w:eastAsia="仿宋_GB2312" w:cs="仿宋_GB2312"/>
          <w:sz w:val="32"/>
          <w:szCs w:val="32"/>
        </w:rPr>
        <w:t>中文标识及原料说明的产品；</w:t>
      </w:r>
    </w:p>
    <w:p>
      <w:pPr>
        <w:pStyle w:val="83"/>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2.超过或临近保质期限或不符合产品标签规定的产品； </w:t>
      </w:r>
    </w:p>
    <w:p>
      <w:pPr>
        <w:pStyle w:val="83"/>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3.混有异物或者其他感官性状异常，含有毒、有害物质或者被有毒、有害物质污染，可能对人体健康有害的产品；</w:t>
      </w:r>
    </w:p>
    <w:p>
      <w:pPr>
        <w:pStyle w:val="83"/>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4.掺假、掺杂、伪造，影响健康、卫生的产品； </w:t>
      </w:r>
    </w:p>
    <w:p>
      <w:pPr>
        <w:pStyle w:val="83"/>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5.用非产品原料加工的产品，加入非产品用化学物质或者将非产品当作产品销售的产品； </w:t>
      </w:r>
    </w:p>
    <w:p>
      <w:pPr>
        <w:pStyle w:val="83"/>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6.其他不符合产品质量标准和要求的产品。</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如因乙方所供应产品的质量问题导致使用者人身或财产受损或引起其他事故，由乙方负全部责任，并承担由此而引起的全部经济损失及相关法律责任。情节严重的，甲方有权立即终止合同，并按相关法律处理，所有法律及经济责任由乙方承担，包括但不限于刑事责任、行政处罚、民事赔偿等。</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（三）消费者因购买乙方供应的产品受到人身、财产及其他合法权益损害而向甲方要求赔偿的或导致甲方受到行政主管部门处罚的，甲方有权直接要求乙方予以赔偿或承担处罚后果，或在赔偿后向乙方追偿。</w:t>
      </w:r>
    </w:p>
    <w:p>
      <w:pPr>
        <w:pStyle w:val="83"/>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（四）</w:t>
      </w:r>
      <w:r>
        <w:rPr>
          <w:rFonts w:hint="eastAsia" w:ascii="仿宋_GB2312" w:hAnsi="仿宋_GB2312" w:eastAsia="仿宋_GB2312" w:cs="仿宋_GB2312"/>
          <w:sz w:val="32"/>
          <w:szCs w:val="32"/>
        </w:rPr>
        <w:t xml:space="preserve">甲乙双方在履行合同的过程中，一方违约的，应按照《中华人民共和国民法典》的规定承担违约责任，违约方给对方造成损失的，应承担相应经济赔偿责任。同时一方在出现违约情况后，另一方视对方违约情况，通知对方采取弥补措施直至合同解除。 </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十、争议的处理</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合同履行中若甲乙双方发生争议，而又无法协商解决的，向甲方所在地有管辖权的人民法院提起诉讼，诉讼费用（包括但不限于案件受理费、鉴定费、保全费、保全保险费）和律师费由败诉方承担。</w:t>
      </w:r>
    </w:p>
    <w:p>
      <w:pPr>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十一、其他</w:t>
      </w:r>
    </w:p>
    <w:p>
      <w:pPr>
        <w:spacing w:line="560" w:lineRule="exact"/>
        <w:ind w:firstLine="640" w:firstLineChars="200"/>
        <w:contextualSpacing/>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（一）本合同</w:t>
      </w:r>
      <w:r>
        <w:rPr>
          <w:rFonts w:hint="eastAsia" w:ascii="仿宋_GB2312" w:hAnsi="仿宋_GB2312" w:eastAsia="仿宋_GB2312" w:cs="仿宋_GB2312"/>
          <w:color w:val="000000"/>
          <w:sz w:val="32"/>
          <w:szCs w:val="32"/>
        </w:rPr>
        <w:t>自双方盖章之日起生效。</w:t>
      </w:r>
    </w:p>
    <w:p>
      <w:pPr>
        <w:spacing w:line="56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（二）双方如有超出本合同条文范围</w:t>
      </w:r>
      <w:r>
        <w:rPr>
          <w:rFonts w:hint="eastAsia" w:ascii="仿宋_GB2312" w:hAnsi="仿宋_GB2312" w:eastAsia="仿宋_GB2312" w:cs="仿宋_GB2312"/>
          <w:sz w:val="32"/>
          <w:szCs w:val="32"/>
        </w:rPr>
        <w:t>的事项，需提早一个月以书面的形式，经双方协商解决，另行约定。</w:t>
      </w:r>
    </w:p>
    <w:p>
      <w:pPr>
        <w:spacing w:line="56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（三）本合同一式陆份，甲方持肆份，乙方持贰份，具有同等的法律效力。</w:t>
      </w:r>
    </w:p>
    <w:p>
      <w:pPr>
        <w:spacing w:line="56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（四）本合同终止后，双方仍承担合同终止前本合同规定的双方应当履行而尚未履行完毕的一切责任与义务。</w:t>
      </w:r>
    </w:p>
    <w:p>
      <w:pPr>
        <w:spacing w:line="560" w:lineRule="exact"/>
        <w:ind w:firstLine="640" w:firstLineChars="200"/>
        <w:contextualSpacing/>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rPr>
        <w:t>（五）</w:t>
      </w:r>
      <w:r>
        <w:rPr>
          <w:rFonts w:hint="eastAsia" w:ascii="仿宋_GB2312" w:hAnsi="仿宋_GB2312" w:eastAsia="仿宋_GB2312" w:cs="仿宋_GB2312"/>
          <w:sz w:val="32"/>
          <w:szCs w:val="32"/>
        </w:rPr>
        <w:t>本合同属于商业机密，甲乙双方均应对相关条款及合作过程中所获悉的商业内容严格保密，未经许可不得向第三方透露，否则应赔偿对方所受损失。</w:t>
      </w:r>
      <w:r>
        <w:rPr>
          <w:rFonts w:hint="eastAsia" w:ascii="仿宋_GB2312" w:hAnsi="仿宋_GB2312" w:eastAsia="仿宋_GB2312" w:cs="仿宋_GB2312"/>
          <w:sz w:val="32"/>
          <w:szCs w:val="32"/>
          <w:highlight w:val="none"/>
        </w:rPr>
        <w:t>如出现乙方及其人员有使用、披露上述保密信息的情况，乙方扣除履约保证金50000.00元，若造成甲方重大损失的，乙方应按实际损失向甲方赔偿。</w:t>
      </w:r>
    </w:p>
    <w:p>
      <w:pPr>
        <w:spacing w:line="560" w:lineRule="exact"/>
        <w:contextualSpacing/>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（以下无正文）</w:t>
      </w:r>
    </w:p>
    <w:p>
      <w:pPr>
        <w:spacing w:line="560" w:lineRule="exact"/>
        <w:ind w:firstLine="640" w:firstLineChars="200"/>
        <w:contextualSpacing/>
        <w:textAlignment w:val="auto"/>
        <w:rPr>
          <w:rFonts w:ascii="仿宋_GB2312" w:hAnsi="仿宋_GB2312" w:eastAsia="仿宋_GB2312" w:cs="仿宋_GB2312"/>
          <w:sz w:val="32"/>
          <w:szCs w:val="32"/>
          <w:highlight w:val="none"/>
        </w:rPr>
      </w:pP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 南通市创聚商贸有限公司                     </w:t>
      </w:r>
    </w:p>
    <w:p>
      <w:pPr>
        <w:spacing w:line="560" w:lineRule="exact"/>
        <w:ind w:left="8640" w:hanging="8640" w:hangingChars="2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甲方代表（签字）：                                </w:t>
      </w: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签订日期：   年   月   日    </w:t>
      </w:r>
    </w:p>
    <w:p>
      <w:pPr>
        <w:spacing w:line="560" w:lineRule="exact"/>
        <w:textAlignment w:val="auto"/>
        <w:rPr>
          <w:rFonts w:ascii="仿宋_GB2312" w:hAnsi="仿宋_GB2312" w:eastAsia="仿宋_GB2312" w:cs="仿宋_GB2312"/>
          <w:sz w:val="32"/>
          <w:szCs w:val="32"/>
        </w:rPr>
      </w:pP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乙方代表（签字）：    </w:t>
      </w:r>
    </w:p>
    <w:p>
      <w:pPr>
        <w:snapToGrid w:val="0"/>
        <w:spacing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签订日期：    年   月   日</w:t>
      </w:r>
    </w:p>
    <w:p>
      <w:pPr>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tbl>
      <w:tblPr>
        <w:tblStyle w:val="11"/>
        <w:tblW w:w="9060" w:type="dxa"/>
        <w:tblInd w:w="0" w:type="dxa"/>
        <w:tblLayout w:type="fixed"/>
        <w:tblCellMar>
          <w:top w:w="0" w:type="dxa"/>
          <w:left w:w="108" w:type="dxa"/>
          <w:bottom w:w="0" w:type="dxa"/>
          <w:right w:w="108" w:type="dxa"/>
        </w:tblCellMar>
      </w:tblPr>
      <w:tblGrid>
        <w:gridCol w:w="1099"/>
        <w:gridCol w:w="1081"/>
        <w:gridCol w:w="824"/>
        <w:gridCol w:w="824"/>
        <w:gridCol w:w="824"/>
        <w:gridCol w:w="824"/>
        <w:gridCol w:w="824"/>
        <w:gridCol w:w="964"/>
        <w:gridCol w:w="964"/>
        <w:gridCol w:w="832"/>
      </w:tblGrid>
      <w:tr>
        <w:tblPrEx>
          <w:tblLayout w:type="fixed"/>
          <w:tblCellMar>
            <w:top w:w="0" w:type="dxa"/>
            <w:left w:w="108" w:type="dxa"/>
            <w:bottom w:w="0" w:type="dxa"/>
            <w:right w:w="108" w:type="dxa"/>
          </w:tblCellMar>
        </w:tblPrEx>
        <w:trPr>
          <w:trHeight w:val="372" w:hRule="atLeast"/>
          <w:tblHeader/>
        </w:trPr>
        <w:tc>
          <w:tcPr>
            <w:tcW w:w="9060" w:type="dxa"/>
            <w:gridSpan w:val="10"/>
            <w:tcBorders>
              <w:top w:val="nil"/>
              <w:left w:val="nil"/>
              <w:bottom w:val="nil"/>
              <w:right w:val="nil"/>
            </w:tcBorders>
            <w:shd w:val="clear" w:color="auto" w:fill="auto"/>
            <w:noWrap/>
            <w:vAlign w:val="center"/>
          </w:tcPr>
          <w:p>
            <w:pPr>
              <w:spacing w:line="400" w:lineRule="exact"/>
              <w:jc w:val="center"/>
              <w:rPr>
                <w:rFonts w:ascii="方正小标宋简体" w:hAnsi="宋体" w:eastAsia="方正小标宋简体" w:cs="宋体"/>
                <w:bCs/>
                <w:color w:val="000000"/>
                <w:kern w:val="0"/>
                <w:sz w:val="32"/>
                <w:szCs w:val="32"/>
              </w:rPr>
            </w:pPr>
          </w:p>
          <w:p>
            <w:pPr>
              <w:spacing w:line="400" w:lineRule="exact"/>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销售产品品牌明细表</w:t>
            </w:r>
          </w:p>
        </w:tc>
      </w:tr>
      <w:tr>
        <w:tblPrEx>
          <w:tblLayout w:type="fixed"/>
          <w:tblCellMar>
            <w:top w:w="0" w:type="dxa"/>
            <w:left w:w="108" w:type="dxa"/>
            <w:bottom w:w="0" w:type="dxa"/>
            <w:right w:w="108" w:type="dxa"/>
          </w:tblCellMar>
        </w:tblPrEx>
        <w:trPr>
          <w:trHeight w:val="595" w:hRule="atLeast"/>
          <w:tblHeader/>
        </w:trPr>
        <w:tc>
          <w:tcPr>
            <w:tcW w:w="10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产品</w:t>
            </w:r>
            <w:r>
              <w:rPr>
                <w:rFonts w:hint="eastAsia" w:ascii="仿宋_GB2312" w:hAnsi="宋体" w:eastAsia="仿宋_GB2312" w:cs="宋体"/>
                <w:b/>
                <w:bCs/>
                <w:color w:val="000000"/>
                <w:kern w:val="0"/>
                <w:szCs w:val="21"/>
              </w:rPr>
              <w:br w:type="textWrapping"/>
            </w:r>
            <w:r>
              <w:rPr>
                <w:rFonts w:hint="eastAsia" w:ascii="仿宋_GB2312" w:hAnsi="宋体" w:eastAsia="仿宋_GB2312" w:cs="宋体"/>
                <w:b/>
                <w:bCs/>
                <w:color w:val="000000"/>
                <w:kern w:val="0"/>
                <w:szCs w:val="21"/>
              </w:rPr>
              <w:t>大类</w:t>
            </w:r>
          </w:p>
        </w:tc>
        <w:tc>
          <w:tcPr>
            <w:tcW w:w="108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产品</w:t>
            </w:r>
          </w:p>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细项</w:t>
            </w:r>
          </w:p>
        </w:tc>
        <w:tc>
          <w:tcPr>
            <w:tcW w:w="6880" w:type="dxa"/>
            <w:gridSpan w:val="8"/>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产品品牌</w:t>
            </w:r>
          </w:p>
        </w:tc>
      </w:tr>
      <w:tr>
        <w:tblPrEx>
          <w:tblLayout w:type="fixed"/>
          <w:tblCellMar>
            <w:top w:w="0" w:type="dxa"/>
            <w:left w:w="108" w:type="dxa"/>
            <w:bottom w:w="0" w:type="dxa"/>
            <w:right w:w="108" w:type="dxa"/>
          </w:tblCellMar>
        </w:tblPrEx>
        <w:trPr>
          <w:trHeight w:val="228" w:hRule="atLeast"/>
        </w:trPr>
        <w:tc>
          <w:tcPr>
            <w:tcW w:w="10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pStyle w:val="2"/>
              <w:spacing w:line="240" w:lineRule="exact"/>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闲</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食</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品</w:t>
            </w: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ind w:firstLine="0"/>
              <w:jc w:val="center"/>
            </w:pPr>
            <w:r>
              <w:rPr>
                <w:rFonts w:hint="eastAsia" w:ascii="仿宋_GB2312" w:hAnsi="宋体" w:eastAsia="仿宋_GB2312" w:cs="宋体"/>
                <w:color w:val="000000"/>
                <w:kern w:val="0"/>
                <w:szCs w:val="21"/>
              </w:rPr>
              <w:t>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闲</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食</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品</w:t>
            </w:r>
          </w:p>
          <w:p>
            <w:pPr>
              <w:pStyle w:val="2"/>
              <w:spacing w:line="240" w:lineRule="exact"/>
              <w:ind w:firstLine="0"/>
              <w:jc w:val="center"/>
              <w:rPr>
                <w:rFonts w:ascii="仿宋_GB2312" w:hAnsi="宋体" w:eastAsia="仿宋_GB2312" w:cs="宋体"/>
                <w:color w:val="000000"/>
                <w:kern w:val="0"/>
                <w:szCs w:val="21"/>
              </w:rPr>
            </w:pPr>
          </w:p>
          <w:p>
            <w:pPr>
              <w:pStyle w:val="2"/>
              <w:spacing w:line="240" w:lineRule="exact"/>
              <w:ind w:firstLine="0"/>
              <w:jc w:val="center"/>
              <w:rPr>
                <w:rFonts w:ascii="仿宋_GB2312" w:hAnsi="宋体" w:eastAsia="仿宋_GB2312" w:cs="宋体"/>
                <w:color w:val="000000"/>
                <w:kern w:val="0"/>
                <w:szCs w:val="21"/>
              </w:rPr>
            </w:pPr>
          </w:p>
          <w:p>
            <w:pPr>
              <w:pStyle w:val="2"/>
              <w:spacing w:line="240" w:lineRule="exact"/>
              <w:ind w:firstLine="0"/>
              <w:jc w:val="center"/>
              <w:rPr>
                <w:rFonts w:ascii="仿宋_GB2312" w:hAnsi="宋体" w:eastAsia="仿宋_GB2312" w:cs="宋体"/>
                <w:color w:val="000000"/>
                <w:kern w:val="0"/>
                <w:szCs w:val="21"/>
              </w:rPr>
            </w:pPr>
          </w:p>
          <w:p>
            <w:pPr>
              <w:pStyle w:val="2"/>
              <w:spacing w:line="240" w:lineRule="exact"/>
              <w:ind w:firstLine="0"/>
              <w:jc w:val="center"/>
            </w:pPr>
          </w:p>
          <w:p>
            <w:pPr>
              <w:pStyle w:val="2"/>
              <w:spacing w:line="240" w:lineRule="exact"/>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饮用水</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农夫山泉</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恒大冰泉</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昆仑山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景田</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屈臣士</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巴黎水</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雪菲力</w:t>
            </w:r>
          </w:p>
        </w:tc>
      </w:tr>
      <w:tr>
        <w:tblPrEx>
          <w:tblLayout w:type="fixed"/>
          <w:tblCellMar>
            <w:top w:w="0" w:type="dxa"/>
            <w:left w:w="108" w:type="dxa"/>
            <w:bottom w:w="0" w:type="dxa"/>
            <w:right w:w="108" w:type="dxa"/>
          </w:tblCellMar>
        </w:tblPrEx>
        <w:trPr>
          <w:trHeight w:val="398"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怡宝水</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崂山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珠峰</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统一</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湾蓝矿泉水</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泰山</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r>
      <w:tr>
        <w:tblPrEx>
          <w:tblLayout w:type="fixed"/>
          <w:tblCellMar>
            <w:top w:w="0" w:type="dxa"/>
            <w:left w:w="108" w:type="dxa"/>
            <w:bottom w:w="0" w:type="dxa"/>
            <w:right w:w="108" w:type="dxa"/>
          </w:tblCellMar>
        </w:tblPrEx>
        <w:trPr>
          <w:trHeight w:val="89"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百岁山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依云</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冰露</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健力宝</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芙丝矿泉水</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悦活</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北极熊</w:t>
            </w:r>
          </w:p>
        </w:tc>
      </w:tr>
      <w:tr>
        <w:tblPrEx>
          <w:tblLayout w:type="fixed"/>
          <w:tblCellMar>
            <w:top w:w="0" w:type="dxa"/>
            <w:left w:w="108" w:type="dxa"/>
            <w:bottom w:w="0" w:type="dxa"/>
            <w:right w:w="108" w:type="dxa"/>
          </w:tblCellMar>
        </w:tblPrEx>
        <w:trPr>
          <w:trHeight w:val="423"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381"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果汁饮料</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农夫果园</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都乐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纯果乐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果倍爽</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麒麟</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佳果源</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玛丽</w:t>
            </w:r>
          </w:p>
        </w:tc>
      </w:tr>
      <w:tr>
        <w:tblPrEx>
          <w:tblLayout w:type="fixed"/>
          <w:tblCellMar>
            <w:top w:w="0" w:type="dxa"/>
            <w:left w:w="108" w:type="dxa"/>
            <w:bottom w:w="0" w:type="dxa"/>
            <w:right w:w="108" w:type="dxa"/>
          </w:tblCellMar>
        </w:tblPrEx>
        <w:trPr>
          <w:trHeight w:val="394"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汇源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椰树</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惠尔康</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海太</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r>
      <w:tr>
        <w:tblPrEx>
          <w:tblLayout w:type="fixed"/>
          <w:tblCellMar>
            <w:top w:w="0" w:type="dxa"/>
            <w:left w:w="108" w:type="dxa"/>
            <w:bottom w:w="0" w:type="dxa"/>
            <w:right w:w="108" w:type="dxa"/>
          </w:tblCellMar>
        </w:tblPrEx>
        <w:trPr>
          <w:trHeight w:val="389"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美汁源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味全</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统一</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欢乐家</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中沃</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泰山</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可果美</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宾得宝</w:t>
            </w:r>
          </w:p>
        </w:tc>
      </w:tr>
      <w:tr>
        <w:tblPrEx>
          <w:tblLayout w:type="fixed"/>
          <w:tblCellMar>
            <w:top w:w="0" w:type="dxa"/>
            <w:left w:w="108" w:type="dxa"/>
            <w:bottom w:w="0" w:type="dxa"/>
            <w:right w:w="108" w:type="dxa"/>
          </w:tblCellMar>
        </w:tblPrEx>
        <w:trPr>
          <w:trHeight w:val="39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华洋</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北冰洋</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美汁源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喜茶</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啵乐乐</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界界乐</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养胃</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乐可分</w:t>
            </w:r>
          </w:p>
        </w:tc>
      </w:tr>
      <w:tr>
        <w:tblPrEx>
          <w:tblLayout w:type="fixed"/>
          <w:tblCellMar>
            <w:top w:w="0" w:type="dxa"/>
            <w:left w:w="108" w:type="dxa"/>
            <w:bottom w:w="0" w:type="dxa"/>
            <w:right w:w="108" w:type="dxa"/>
          </w:tblCellMar>
        </w:tblPrEx>
        <w:trPr>
          <w:trHeight w:val="345" w:hRule="atLeast"/>
        </w:trPr>
        <w:tc>
          <w:tcPr>
            <w:tcW w:w="109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乐乐茶</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38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茶饮</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汇源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天喔</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三得利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麒麟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加多宝</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伊藤园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元气森林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康宝莱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王老吉</w:t>
            </w:r>
          </w:p>
        </w:tc>
      </w:tr>
      <w:tr>
        <w:tblPrEx>
          <w:tblLayout w:type="fixed"/>
          <w:tblCellMar>
            <w:top w:w="0" w:type="dxa"/>
            <w:left w:w="108" w:type="dxa"/>
            <w:bottom w:w="0" w:type="dxa"/>
            <w:right w:w="108" w:type="dxa"/>
          </w:tblCellMar>
        </w:tblPrEx>
        <w:trPr>
          <w:trHeight w:val="434"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茶π</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东方树叶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维他奶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蜜谷</w:t>
            </w:r>
          </w:p>
        </w:tc>
        <w:tc>
          <w:tcPr>
            <w:tcW w:w="824" w:type="dxa"/>
            <w:tcBorders>
              <w:top w:val="nil"/>
              <w:left w:val="nil"/>
              <w:bottom w:val="nil"/>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964" w:type="dxa"/>
            <w:tcBorders>
              <w:top w:val="nil"/>
              <w:left w:val="single" w:color="auto" w:sz="4" w:space="0"/>
              <w:bottom w:val="nil"/>
              <w:right w:val="nil"/>
            </w:tcBorders>
            <w:shd w:val="clear" w:color="auto" w:fill="auto"/>
            <w:noWrap/>
            <w:vAlign w:val="center"/>
          </w:tcPr>
          <w:p>
            <w:pPr>
              <w:spacing w:line="240" w:lineRule="exact"/>
              <w:jc w:val="left"/>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431"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牛奶奶饮</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蒙牛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味全</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光明</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简爱</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兰特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德亚</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兰特</w:t>
            </w:r>
          </w:p>
        </w:tc>
      </w:tr>
      <w:tr>
        <w:tblPrEx>
          <w:tblLayout w:type="fixed"/>
          <w:tblCellMar>
            <w:top w:w="0" w:type="dxa"/>
            <w:left w:w="108" w:type="dxa"/>
            <w:bottom w:w="0" w:type="dxa"/>
            <w:right w:w="108" w:type="dxa"/>
          </w:tblCellMar>
        </w:tblPrEx>
        <w:trPr>
          <w:trHeight w:val="40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圣牧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百菲</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卫岗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君乐宝</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欧亚</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啵乐乐</w:t>
            </w:r>
          </w:p>
        </w:tc>
      </w:tr>
      <w:tr>
        <w:tblPrEx>
          <w:tblLayout w:type="fixed"/>
          <w:tblCellMar>
            <w:top w:w="0" w:type="dxa"/>
            <w:left w:w="108" w:type="dxa"/>
            <w:bottom w:w="0" w:type="dxa"/>
            <w:right w:w="108" w:type="dxa"/>
          </w:tblCellMar>
        </w:tblPrEx>
        <w:trPr>
          <w:trHeight w:val="32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旺仔</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椰树</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夏进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味动力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明治</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认领一头牛</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乐纯</w:t>
            </w:r>
          </w:p>
        </w:tc>
      </w:tr>
      <w:tr>
        <w:tblPrEx>
          <w:tblLayout w:type="fixed"/>
          <w:tblCellMar>
            <w:top w:w="0" w:type="dxa"/>
            <w:left w:w="108" w:type="dxa"/>
            <w:bottom w:w="0" w:type="dxa"/>
            <w:right w:w="108" w:type="dxa"/>
          </w:tblCellMar>
        </w:tblPrEx>
        <w:trPr>
          <w:trHeight w:val="483"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维他奶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名屋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娃哈哈</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春光</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和润</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阿华田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养乐多</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李子园</w:t>
            </w:r>
          </w:p>
        </w:tc>
      </w:tr>
      <w:tr>
        <w:tblPrEx>
          <w:tblLayout w:type="fixed"/>
          <w:tblCellMar>
            <w:top w:w="0" w:type="dxa"/>
            <w:left w:w="108" w:type="dxa"/>
            <w:bottom w:w="0" w:type="dxa"/>
            <w:right w:w="108" w:type="dxa"/>
          </w:tblCellMar>
        </w:tblPrEx>
        <w:trPr>
          <w:trHeight w:val="381"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大窑</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冰峰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屈臣士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健力宝</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德运</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新希望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哈根达斯</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每日鲜果</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北海牧场</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朴诚乳业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50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碳酸功能饮料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脉动</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尖叫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战马</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红牛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蓝岸</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力量帝</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百事</w:t>
            </w:r>
          </w:p>
        </w:tc>
      </w:tr>
      <w:tr>
        <w:tblPrEx>
          <w:tblLayout w:type="fixed"/>
          <w:tblCellMar>
            <w:top w:w="0" w:type="dxa"/>
            <w:left w:w="108" w:type="dxa"/>
            <w:bottom w:w="0" w:type="dxa"/>
            <w:right w:w="108" w:type="dxa"/>
          </w:tblCellMar>
        </w:tblPrEx>
        <w:trPr>
          <w:trHeight w:val="73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日加满</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启力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健力宝</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黑卡</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楚天舒</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可口可乐</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p>
          <w:p>
            <w:pPr>
              <w:pStyle w:val="2"/>
              <w:spacing w:line="240" w:lineRule="exact"/>
            </w:pPr>
          </w:p>
          <w:p>
            <w:pPr>
              <w:pStyle w:val="2"/>
              <w:spacing w:line="240" w:lineRule="exact"/>
            </w:pPr>
          </w:p>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饼干糕点</w:t>
            </w:r>
          </w:p>
          <w:p>
            <w:pPr>
              <w:pStyle w:val="2"/>
              <w:rPr>
                <w:rFonts w:ascii="仿宋_GB2312" w:hAnsi="宋体" w:eastAsia="仿宋_GB2312" w:cs="宋体"/>
                <w:color w:val="000000"/>
                <w:kern w:val="0"/>
                <w:szCs w:val="21"/>
              </w:rPr>
            </w:pPr>
          </w:p>
          <w:p>
            <w:pPr>
              <w:pStyle w:val="2"/>
              <w:rPr>
                <w:rFonts w:ascii="仿宋_GB2312" w:hAnsi="宋体" w:eastAsia="仿宋_GB2312" w:cs="宋体"/>
                <w:color w:val="000000"/>
                <w:kern w:val="0"/>
                <w:szCs w:val="21"/>
              </w:rPr>
            </w:pPr>
          </w:p>
          <w:p>
            <w:pPr>
              <w:pStyle w:val="2"/>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p>
            <w:pPr>
              <w:spacing w:line="240" w:lineRule="exact"/>
              <w:jc w:val="center"/>
              <w:rPr>
                <w:rFonts w:ascii="仿宋_GB2312" w:hAnsi="宋体" w:eastAsia="仿宋_GB2312" w:cs="宋体"/>
                <w:color w:val="000000"/>
                <w:kern w:val="0"/>
                <w:szCs w:val="21"/>
              </w:rPr>
            </w:pPr>
          </w:p>
          <w:p>
            <w:pPr>
              <w:spacing w:line="240" w:lineRule="exact"/>
              <w:jc w:val="center"/>
            </w:pPr>
            <w:r>
              <w:rPr>
                <w:rFonts w:hint="eastAsia" w:ascii="仿宋_GB2312" w:hAnsi="宋体" w:eastAsia="仿宋_GB2312" w:cs="宋体"/>
                <w:color w:val="000000"/>
                <w:kern w:val="0"/>
                <w:szCs w:val="21"/>
              </w:rPr>
              <w:t>饼干糕点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卡夫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江中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嘉顿</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乐之</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丹麦皇冠</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麦维他</w:t>
            </w:r>
          </w:p>
        </w:tc>
      </w:tr>
      <w:tr>
        <w:tblPrEx>
          <w:tblLayout w:type="fixed"/>
          <w:tblCellMar>
            <w:top w:w="0" w:type="dxa"/>
            <w:left w:w="108" w:type="dxa"/>
            <w:bottom w:w="0" w:type="dxa"/>
            <w:right w:w="108" w:type="dxa"/>
          </w:tblCellMar>
        </w:tblPrEx>
        <w:trPr>
          <w:trHeight w:val="4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奥利奥</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盼盼</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嘉士利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太平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思朗</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奥利给</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咔咔脆</w:t>
            </w:r>
          </w:p>
        </w:tc>
      </w:tr>
      <w:tr>
        <w:tblPrEx>
          <w:tblLayout w:type="fixed"/>
          <w:tblCellMar>
            <w:top w:w="0" w:type="dxa"/>
            <w:left w:w="108" w:type="dxa"/>
            <w:bottom w:w="0" w:type="dxa"/>
            <w:right w:w="108" w:type="dxa"/>
          </w:tblCellMar>
        </w:tblPrEx>
        <w:trPr>
          <w:trHeight w:val="263"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良品铺子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趣多多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嘉友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优冠</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弘一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徐福记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法丽兹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三立</w:t>
            </w:r>
          </w:p>
        </w:tc>
      </w:tr>
      <w:tr>
        <w:tblPrEx>
          <w:tblLayout w:type="fixed"/>
          <w:tblCellMar>
            <w:top w:w="0" w:type="dxa"/>
            <w:left w:w="108" w:type="dxa"/>
            <w:bottom w:w="0" w:type="dxa"/>
            <w:right w:w="108" w:type="dxa"/>
          </w:tblCellMar>
        </w:tblPrEx>
        <w:trPr>
          <w:trHeight w:val="432"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百草味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港荣</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康元</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味滋源</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丹夫</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朱蒂丝</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莱家</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格力高</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来伊份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米多奇</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爱尚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杏花楼</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西亭脆饼</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麦蒂酥</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稻香村</w:t>
            </w:r>
          </w:p>
        </w:tc>
      </w:tr>
      <w:tr>
        <w:tblPrEx>
          <w:tblLayout w:type="fixed"/>
          <w:tblCellMar>
            <w:top w:w="0" w:type="dxa"/>
            <w:left w:w="108" w:type="dxa"/>
            <w:bottom w:w="0" w:type="dxa"/>
            <w:right w:w="108" w:type="dxa"/>
          </w:tblCellMar>
        </w:tblPrEx>
        <w:trPr>
          <w:trHeight w:val="4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米老头</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台尚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好丽友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泡吧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张君雅</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丽芝士</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达能</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r>
      <w:tr>
        <w:tblPrEx>
          <w:tblLayout w:type="fixed"/>
          <w:tblCellMar>
            <w:top w:w="0" w:type="dxa"/>
            <w:left w:w="108" w:type="dxa"/>
            <w:bottom w:w="0" w:type="dxa"/>
            <w:right w:w="108" w:type="dxa"/>
          </w:tblCellMar>
        </w:tblPrEx>
        <w:trPr>
          <w:trHeight w:val="43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膨化炒货类</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可比克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上好佳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品客</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好友趣</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奇多</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小王子</w:t>
            </w:r>
          </w:p>
        </w:tc>
      </w:tr>
      <w:tr>
        <w:tblPrEx>
          <w:tblLayout w:type="fixed"/>
          <w:tblCellMar>
            <w:top w:w="0" w:type="dxa"/>
            <w:left w:w="108" w:type="dxa"/>
            <w:bottom w:w="0" w:type="dxa"/>
            <w:right w:w="108" w:type="dxa"/>
          </w:tblCellMar>
        </w:tblPrEx>
        <w:trPr>
          <w:trHeight w:val="44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猫诚</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卡迪那</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子弟</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洽洽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阿里山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百事</w:t>
            </w:r>
          </w:p>
        </w:tc>
      </w:tr>
      <w:tr>
        <w:tblPrEx>
          <w:tblLayout w:type="fixed"/>
          <w:tblCellMar>
            <w:top w:w="0" w:type="dxa"/>
            <w:left w:w="108" w:type="dxa"/>
            <w:bottom w:w="0" w:type="dxa"/>
            <w:right w:w="108" w:type="dxa"/>
          </w:tblCellMar>
        </w:tblPrEx>
        <w:trPr>
          <w:trHeight w:val="313"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糖果蜜饯</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健达</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玛氏箭牌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酷姿</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雀巢</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不二家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民治</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瑞士莲</w:t>
            </w:r>
          </w:p>
        </w:tc>
      </w:tr>
      <w:tr>
        <w:tblPrEx>
          <w:tblLayout w:type="fixed"/>
          <w:tblCellMar>
            <w:top w:w="0" w:type="dxa"/>
            <w:left w:w="108" w:type="dxa"/>
            <w:bottom w:w="0" w:type="dxa"/>
            <w:right w:w="108" w:type="dxa"/>
          </w:tblCellMar>
        </w:tblPrEx>
        <w:trPr>
          <w:trHeight w:val="16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乐天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哈达牌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每日黑巧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必品阁</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力大狮</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啵乐乐</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绿乐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特惠</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雪海梅乡</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溜溜梅</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特惠</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佳宝</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沃隆</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百草味</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旺旺</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惠得丽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理本</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味觉</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野村</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森达</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费力罗</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阿尔卑斯</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达利园</w:t>
            </w:r>
          </w:p>
        </w:tc>
      </w:tr>
      <w:tr>
        <w:tblPrEx>
          <w:tblLayout w:type="fixed"/>
          <w:tblCellMar>
            <w:top w:w="0" w:type="dxa"/>
            <w:left w:w="108" w:type="dxa"/>
            <w:bottom w:w="0" w:type="dxa"/>
            <w:right w:w="108" w:type="dxa"/>
          </w:tblCellMar>
        </w:tblPrEx>
        <w:trPr>
          <w:trHeight w:val="29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冠生园</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大白兔</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良品铺子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312" w:hRule="atLeast"/>
        </w:trPr>
        <w:tc>
          <w:tcPr>
            <w:tcW w:w="109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网红产品</w:t>
            </w:r>
          </w:p>
        </w:tc>
        <w:tc>
          <w:tcPr>
            <w:tcW w:w="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三只松鼠</w:t>
            </w:r>
          </w:p>
        </w:tc>
        <w:tc>
          <w:tcPr>
            <w:tcW w:w="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每日黑巧</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李子柒</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莫小仙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汤姆农场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浅茶家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卡乐比</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Lotus</w:t>
            </w:r>
          </w:p>
        </w:tc>
      </w:tr>
      <w:tr>
        <w:tblPrEx>
          <w:tblLayout w:type="fixed"/>
          <w:tblCellMar>
            <w:top w:w="0" w:type="dxa"/>
            <w:left w:w="108" w:type="dxa"/>
            <w:bottom w:w="0" w:type="dxa"/>
            <w:right w:w="108" w:type="dxa"/>
          </w:tblCellMar>
        </w:tblPrEx>
        <w:trPr>
          <w:trHeight w:val="476" w:hRule="atLeast"/>
        </w:trPr>
        <w:tc>
          <w:tcPr>
            <w:tcW w:w="10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粮油调味</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米、面、油、酱油、醋、料酒、味精、鸡精、盐、火锅调料</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金龙鱼</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福临门</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五常</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北大荒</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金南丰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苏通</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金沙河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顶味</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里下河</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渔湾</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陈克明</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今麦郎</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中裕</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康师傅</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白象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天然麦</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鸵鸟</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元宝</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鲁花</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葵王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多力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天府</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胡姬花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香满园</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道道全</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长康</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日清</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九三</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克莉娜</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食圣</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欧特薇</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长寿花</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丰满香</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六婆</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刘一手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小肥羊</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麻辣空间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红99</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水明楼</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海天</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李锦记</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老恒和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厨邦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味事达</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淘大</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老才臣</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多福</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欣和</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伊例家</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巧媳妇</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古龙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鼎丰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百味佳</w:t>
            </w:r>
          </w:p>
        </w:tc>
      </w:tr>
      <w:tr>
        <w:tblPrEx>
          <w:tblLayout w:type="fixed"/>
          <w:tblCellMar>
            <w:top w:w="0" w:type="dxa"/>
            <w:left w:w="108" w:type="dxa"/>
            <w:bottom w:w="0" w:type="dxa"/>
            <w:right w:w="108" w:type="dxa"/>
          </w:tblCellMar>
        </w:tblPrEx>
        <w:trPr>
          <w:trHeight w:val="476"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恒顺</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天地壹号</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紫林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东湖</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千禾</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水塔</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味好美</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安琪</w:t>
            </w:r>
          </w:p>
        </w:tc>
      </w:tr>
      <w:tr>
        <w:tblPrEx>
          <w:tblLayout w:type="fixed"/>
          <w:tblCellMar>
            <w:top w:w="0" w:type="dxa"/>
            <w:left w:w="108" w:type="dxa"/>
            <w:bottom w:w="0" w:type="dxa"/>
            <w:right w:w="108" w:type="dxa"/>
          </w:tblCellMar>
        </w:tblPrEx>
        <w:trPr>
          <w:trHeight w:val="399"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太太乐</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家乐</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味美思</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南德</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王守义</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厨鼎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天字</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大桥</w:t>
            </w:r>
          </w:p>
        </w:tc>
      </w:tr>
      <w:tr>
        <w:tblPrEx>
          <w:tblLayout w:type="fixed"/>
          <w:tblCellMar>
            <w:top w:w="0" w:type="dxa"/>
            <w:left w:w="108" w:type="dxa"/>
            <w:bottom w:w="0" w:type="dxa"/>
            <w:right w:w="108" w:type="dxa"/>
          </w:tblCellMar>
        </w:tblPrEx>
        <w:trPr>
          <w:trHeight w:val="438" w:hRule="atLeast"/>
        </w:trPr>
        <w:tc>
          <w:tcPr>
            <w:tcW w:w="1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淮牌</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川崎</w:t>
            </w:r>
          </w:p>
        </w:tc>
        <w:tc>
          <w:tcPr>
            <w:tcW w:w="82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德庄</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海底捞</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桥头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大红袍</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416" w:hRule="atLeast"/>
        </w:trPr>
        <w:tc>
          <w:tcPr>
            <w:tcW w:w="109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日配品</w:t>
            </w:r>
          </w:p>
        </w:tc>
        <w:tc>
          <w:tcPr>
            <w:tcW w:w="108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奶酪</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光明</w:t>
            </w:r>
          </w:p>
        </w:tc>
        <w:tc>
          <w:tcPr>
            <w:tcW w:w="8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蒙牛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运达</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明治</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百吉福</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39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汤圆水饺</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思念</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安井</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三全</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龙凤</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湾仔码头</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大娘</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必品阁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园外园</w:t>
            </w:r>
          </w:p>
        </w:tc>
      </w:tr>
      <w:tr>
        <w:tblPrEx>
          <w:tblLayout w:type="fixed"/>
          <w:tblCellMar>
            <w:top w:w="0" w:type="dxa"/>
            <w:left w:w="108" w:type="dxa"/>
            <w:bottom w:w="0" w:type="dxa"/>
            <w:right w:w="108" w:type="dxa"/>
          </w:tblCellMar>
        </w:tblPrEx>
        <w:trPr>
          <w:trHeight w:val="51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海霸王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缸鸭狗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冷饮冰淇淋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梦龙</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八喜</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蒙牛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伊利</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光明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哈根达斯</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eastAsia="仿宋_GB2312"/>
                <w:kern w:val="0"/>
                <w:szCs w:val="21"/>
              </w:rPr>
            </w:pPr>
          </w:p>
        </w:tc>
      </w:tr>
      <w:tr>
        <w:tblPrEx>
          <w:tblLayout w:type="fixed"/>
          <w:tblCellMar>
            <w:top w:w="0" w:type="dxa"/>
            <w:left w:w="108" w:type="dxa"/>
            <w:bottom w:w="0" w:type="dxa"/>
            <w:right w:w="108" w:type="dxa"/>
          </w:tblCellMar>
        </w:tblPrEx>
        <w:trPr>
          <w:trHeight w:val="595"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家庭生活用品</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厨房用品、洗护品、家用纺织品</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白猫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爱特福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雕牌</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立白</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奥妙</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大公鸡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优洁士</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舒肤佳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威猛</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洁邦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开米</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威王</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狮王</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花王</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圣洁康</w:t>
            </w:r>
          </w:p>
        </w:tc>
      </w:tr>
      <w:tr>
        <w:tblPrEx>
          <w:tblLayout w:type="fixed"/>
          <w:tblCellMar>
            <w:top w:w="0" w:type="dxa"/>
            <w:left w:w="108" w:type="dxa"/>
            <w:bottom w:w="0" w:type="dxa"/>
            <w:right w:w="108" w:type="dxa"/>
          </w:tblCellMar>
        </w:tblPrEx>
        <w:trPr>
          <w:trHeight w:val="59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left"/>
              <w:rPr>
                <w:rFonts w:ascii="仿宋_GB2312" w:hAnsi="宋体" w:eastAsia="仿宋_GB2312" w:cs="宋体"/>
                <w:color w:val="000000"/>
                <w:kern w:val="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蓝月亮</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老管家</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威露王</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金龙鱼</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妙管家</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清清美</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妙洁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r>
    </w:tbl>
    <w:p>
      <w:pPr>
        <w:pStyle w:val="2"/>
        <w:ind w:firstLine="0"/>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附件2：</w:t>
      </w:r>
    </w:p>
    <w:tbl>
      <w:tblPr>
        <w:tblStyle w:val="11"/>
        <w:tblW w:w="8792" w:type="dxa"/>
        <w:tblInd w:w="93" w:type="dxa"/>
        <w:tblLayout w:type="fixed"/>
        <w:tblCellMar>
          <w:top w:w="0" w:type="dxa"/>
          <w:left w:w="108" w:type="dxa"/>
          <w:bottom w:w="0" w:type="dxa"/>
          <w:right w:w="108" w:type="dxa"/>
        </w:tblCellMar>
      </w:tblPr>
      <w:tblGrid>
        <w:gridCol w:w="873"/>
        <w:gridCol w:w="873"/>
        <w:gridCol w:w="7046"/>
      </w:tblGrid>
      <w:tr>
        <w:tblPrEx>
          <w:tblLayout w:type="fixed"/>
          <w:tblCellMar>
            <w:top w:w="0" w:type="dxa"/>
            <w:left w:w="108" w:type="dxa"/>
            <w:bottom w:w="0" w:type="dxa"/>
            <w:right w:w="108" w:type="dxa"/>
          </w:tblCellMar>
        </w:tblPrEx>
        <w:trPr>
          <w:trHeight w:val="340" w:hRule="atLeast"/>
          <w:tblHead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评分因素</w:t>
            </w:r>
          </w:p>
        </w:tc>
        <w:tc>
          <w:tcPr>
            <w:tcW w:w="87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标准分值</w:t>
            </w:r>
          </w:p>
        </w:tc>
        <w:tc>
          <w:tcPr>
            <w:tcW w:w="704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考核内容</w:t>
            </w:r>
          </w:p>
        </w:tc>
      </w:tr>
      <w:tr>
        <w:tblPrEx>
          <w:tblLayout w:type="fixed"/>
          <w:tblCellMar>
            <w:top w:w="0" w:type="dxa"/>
            <w:left w:w="108" w:type="dxa"/>
            <w:bottom w:w="0" w:type="dxa"/>
            <w:right w:w="108" w:type="dxa"/>
          </w:tblCellMar>
        </w:tblPrEx>
        <w:trPr>
          <w:trHeight w:val="1360"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spacing w:line="400" w:lineRule="exact"/>
              <w:ind w:firstLine="0"/>
              <w:jc w:val="center"/>
              <w:rPr>
                <w:rFonts w:ascii="仿宋_GB2312" w:hAnsi="仿宋_GB2312" w:eastAsia="仿宋_GB2312" w:cs="仿宋_GB2312"/>
                <w:szCs w:val="21"/>
              </w:rPr>
            </w:pPr>
            <w:r>
              <w:rPr>
                <w:rFonts w:hint="eastAsia" w:ascii="仿宋_GB2312" w:hAnsi="仿宋_GB2312" w:eastAsia="仿宋_GB2312" w:cs="仿宋_GB2312"/>
                <w:szCs w:val="21"/>
              </w:rPr>
              <w:t>商品</w:t>
            </w:r>
          </w:p>
          <w:p>
            <w:pPr>
              <w:pStyle w:val="2"/>
              <w:spacing w:line="400" w:lineRule="exact"/>
              <w:ind w:firstLine="0"/>
              <w:jc w:val="center"/>
              <w:rPr>
                <w:rFonts w:ascii="仿宋_GB2312" w:hAnsi="宋体" w:eastAsia="仿宋_GB2312" w:cs="宋体"/>
                <w:color w:val="000000"/>
                <w:kern w:val="0"/>
                <w:szCs w:val="21"/>
              </w:rPr>
            </w:pPr>
            <w:r>
              <w:rPr>
                <w:rFonts w:hint="eastAsia" w:ascii="仿宋_GB2312" w:hAnsi="仿宋_GB2312" w:eastAsia="仿宋_GB2312" w:cs="仿宋_GB2312"/>
                <w:szCs w:val="21"/>
              </w:rPr>
              <w:t>管理</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046" w:type="dxa"/>
            <w:tcBorders>
              <w:top w:val="nil"/>
              <w:left w:val="nil"/>
              <w:bottom w:val="single" w:color="auto" w:sz="4" w:space="0"/>
              <w:right w:val="single" w:color="auto" w:sz="4" w:space="0"/>
            </w:tcBorders>
            <w:shd w:val="clear" w:color="auto" w:fill="auto"/>
            <w:vAlign w:val="center"/>
          </w:tcPr>
          <w:p>
            <w:pPr>
              <w:pStyle w:val="2"/>
              <w:spacing w:line="400" w:lineRule="exact"/>
              <w:ind w:firstLine="0"/>
              <w:rPr>
                <w:rFonts w:ascii="仿宋_GB2312" w:hAnsi="宋体" w:eastAsia="仿宋_GB2312" w:cs="宋体"/>
                <w:color w:val="000000"/>
                <w:kern w:val="0"/>
                <w:szCs w:val="21"/>
              </w:rPr>
            </w:pPr>
            <w:r>
              <w:rPr>
                <w:rFonts w:hint="eastAsia" w:ascii="仿宋_GB2312" w:hAnsi="仿宋_GB2312" w:eastAsia="仿宋_GB2312" w:cs="仿宋_GB2312"/>
                <w:szCs w:val="21"/>
              </w:rPr>
              <w:t>商品分门别类，摆放有序，货架无空段，过道不堆积，商品与价签对应，得20分；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商品分门别类，摆放有序，货架有空段，过道有堆积，商品与价签对应，得10分；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商品分门别类，摆放有序，货架有空段，过道有堆积，商品与价签不对应，得5分；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商品摆放杂乱，货架有空段，过道有堆积，商品与价签不对应，得0分。</w:t>
            </w:r>
          </w:p>
        </w:tc>
      </w:tr>
      <w:tr>
        <w:tblPrEx>
          <w:tblLayout w:type="fixed"/>
          <w:tblCellMar>
            <w:top w:w="0" w:type="dxa"/>
            <w:left w:w="108" w:type="dxa"/>
            <w:bottom w:w="0" w:type="dxa"/>
            <w:right w:w="108" w:type="dxa"/>
          </w:tblCellMar>
        </w:tblPrEx>
        <w:trPr>
          <w:trHeight w:val="340"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spacing w:line="400" w:lineRule="exact"/>
              <w:ind w:firstLine="0"/>
              <w:jc w:val="center"/>
              <w:rPr>
                <w:rFonts w:ascii="仿宋_GB2312" w:hAnsi="仿宋_GB2312" w:eastAsia="仿宋_GB2312" w:cs="仿宋_GB2312"/>
                <w:szCs w:val="21"/>
              </w:rPr>
            </w:pPr>
            <w:r>
              <w:rPr>
                <w:rFonts w:hint="eastAsia" w:ascii="仿宋_GB2312" w:hAnsi="仿宋_GB2312" w:eastAsia="仿宋_GB2312" w:cs="仿宋_GB2312"/>
                <w:szCs w:val="21"/>
              </w:rPr>
              <w:t>商品</w:t>
            </w:r>
          </w:p>
          <w:p>
            <w:pPr>
              <w:pStyle w:val="2"/>
              <w:spacing w:line="400" w:lineRule="exact"/>
              <w:ind w:firstLine="0"/>
              <w:jc w:val="center"/>
              <w:rPr>
                <w:rFonts w:ascii="仿宋_GB2312" w:hAnsi="仿宋_GB2312" w:eastAsia="仿宋_GB2312" w:cs="仿宋_GB2312"/>
                <w:szCs w:val="21"/>
              </w:rPr>
            </w:pPr>
            <w:r>
              <w:rPr>
                <w:rFonts w:hint="eastAsia" w:ascii="仿宋_GB2312" w:hAnsi="仿宋_GB2312" w:eastAsia="仿宋_GB2312" w:cs="仿宋_GB2312"/>
                <w:szCs w:val="21"/>
              </w:rPr>
              <w:t>价格</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046" w:type="dxa"/>
            <w:tcBorders>
              <w:top w:val="nil"/>
              <w:left w:val="nil"/>
              <w:bottom w:val="single" w:color="auto" w:sz="4" w:space="0"/>
              <w:right w:val="single" w:color="auto" w:sz="4" w:space="0"/>
            </w:tcBorders>
            <w:shd w:val="clear" w:color="auto" w:fill="auto"/>
            <w:vAlign w:val="center"/>
          </w:tcPr>
          <w:p>
            <w:pPr>
              <w:pStyle w:val="2"/>
              <w:spacing w:line="400" w:lineRule="exact"/>
              <w:ind w:firstLine="0"/>
              <w:rPr>
                <w:rFonts w:ascii="仿宋_GB2312" w:hAnsi="宋体" w:eastAsia="仿宋_GB2312" w:cs="宋体"/>
                <w:color w:val="000000"/>
                <w:kern w:val="0"/>
                <w:szCs w:val="21"/>
              </w:rPr>
            </w:pPr>
            <w:r>
              <w:rPr>
                <w:rFonts w:hint="eastAsia" w:ascii="仿宋_GB2312" w:hAnsi="仿宋_GB2312" w:eastAsia="仿宋_GB2312" w:cs="仿宋_GB2312"/>
                <w:szCs w:val="21"/>
              </w:rPr>
              <w:t>商品价格须明码标价，缺一个扣1分，价格高于周边地区商超同类商品价格，高一个扣1分，扣完为止。</w:t>
            </w:r>
          </w:p>
        </w:tc>
      </w:tr>
      <w:tr>
        <w:tblPrEx>
          <w:tblLayout w:type="fixed"/>
          <w:tblCellMar>
            <w:top w:w="0" w:type="dxa"/>
            <w:left w:w="108" w:type="dxa"/>
            <w:bottom w:w="0" w:type="dxa"/>
            <w:right w:w="108" w:type="dxa"/>
          </w:tblCellMar>
        </w:tblPrEx>
        <w:trPr>
          <w:trHeight w:val="680"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spacing w:line="400" w:lineRule="exact"/>
              <w:ind w:firstLine="0"/>
              <w:jc w:val="center"/>
              <w:rPr>
                <w:rFonts w:ascii="仿宋_GB2312" w:hAnsi="仿宋_GB2312" w:eastAsia="仿宋_GB2312" w:cs="仿宋_GB2312"/>
                <w:szCs w:val="21"/>
              </w:rPr>
            </w:pPr>
            <w:r>
              <w:rPr>
                <w:rFonts w:hint="eastAsia" w:ascii="仿宋_GB2312" w:hAnsi="仿宋_GB2312" w:eastAsia="仿宋_GB2312" w:cs="仿宋_GB2312"/>
                <w:szCs w:val="21"/>
              </w:rPr>
              <w:t>商品质量</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046" w:type="dxa"/>
            <w:tcBorders>
              <w:top w:val="nil"/>
              <w:left w:val="nil"/>
              <w:bottom w:val="single" w:color="auto" w:sz="4" w:space="0"/>
              <w:right w:val="single" w:color="auto" w:sz="4" w:space="0"/>
            </w:tcBorders>
            <w:shd w:val="clear" w:color="auto" w:fill="auto"/>
            <w:vAlign w:val="center"/>
          </w:tcPr>
          <w:p>
            <w:pPr>
              <w:pStyle w:val="2"/>
              <w:spacing w:line="400" w:lineRule="exact"/>
              <w:ind w:firstLine="0"/>
              <w:rPr>
                <w:rFonts w:ascii="仿宋_GB2312" w:hAnsi="宋体" w:eastAsia="仿宋_GB2312" w:cs="宋体"/>
                <w:color w:val="000000"/>
                <w:kern w:val="0"/>
                <w:szCs w:val="21"/>
              </w:rPr>
            </w:pPr>
            <w:r>
              <w:rPr>
                <w:rFonts w:hint="eastAsia" w:ascii="仿宋_GB2312" w:hAnsi="仿宋_GB2312" w:eastAsia="仿宋_GB2312" w:cs="仿宋_GB2312"/>
                <w:szCs w:val="21"/>
              </w:rPr>
              <w:t>商品包装整洁、质保期内、非三无产品，得15分；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商品包装不洁、质保期内、非三无产品，得10分；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商品包装不洁、质保期内、三无产品，得0分；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商品包装不洁、质保期外、非三无产品，得0分。</w:t>
            </w:r>
          </w:p>
        </w:tc>
      </w:tr>
      <w:tr>
        <w:tblPrEx>
          <w:tblLayout w:type="fixed"/>
          <w:tblCellMar>
            <w:top w:w="0" w:type="dxa"/>
            <w:left w:w="108" w:type="dxa"/>
            <w:bottom w:w="0" w:type="dxa"/>
            <w:right w:w="108" w:type="dxa"/>
          </w:tblCellMar>
        </w:tblPrEx>
        <w:trPr>
          <w:trHeight w:val="1020"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spacing w:line="400" w:lineRule="exact"/>
              <w:ind w:firstLine="0"/>
              <w:jc w:val="center"/>
              <w:rPr>
                <w:rFonts w:ascii="仿宋_GB2312" w:hAnsi="宋体" w:eastAsia="仿宋_GB2312" w:cs="宋体"/>
                <w:color w:val="000000"/>
                <w:kern w:val="0"/>
                <w:szCs w:val="21"/>
              </w:rPr>
            </w:pPr>
            <w:r>
              <w:rPr>
                <w:rFonts w:hint="eastAsia" w:ascii="仿宋_GB2312" w:hAnsi="仿宋_GB2312" w:eastAsia="仿宋_GB2312" w:cs="仿宋_GB2312"/>
                <w:szCs w:val="21"/>
              </w:rPr>
              <w:t>商品配运</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046" w:type="dxa"/>
            <w:tcBorders>
              <w:top w:val="nil"/>
              <w:left w:val="nil"/>
              <w:bottom w:val="single" w:color="auto" w:sz="4" w:space="0"/>
              <w:right w:val="single" w:color="auto" w:sz="4" w:space="0"/>
            </w:tcBorders>
            <w:shd w:val="clear" w:color="auto" w:fill="auto"/>
            <w:vAlign w:val="center"/>
          </w:tcPr>
          <w:p>
            <w:pPr>
              <w:pStyle w:val="2"/>
              <w:spacing w:line="400" w:lineRule="exact"/>
              <w:ind w:firstLine="0"/>
              <w:rPr>
                <w:rFonts w:ascii="仿宋_GB2312" w:hAnsi="宋体" w:eastAsia="仿宋_GB2312" w:cs="宋体"/>
                <w:color w:val="000000"/>
                <w:kern w:val="0"/>
                <w:szCs w:val="21"/>
              </w:rPr>
            </w:pPr>
            <w:r>
              <w:rPr>
                <w:rFonts w:hint="eastAsia" w:ascii="仿宋_GB2312" w:hAnsi="仿宋_GB2312" w:eastAsia="仿宋_GB2312" w:cs="仿宋_GB2312"/>
                <w:szCs w:val="21"/>
              </w:rPr>
              <w:t>商品配运在指定时间段内完成，及时入库正常销售，得15分；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商品配运未在指定时间段内完成，及时入库正常销售，得10分；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商品配运在指定时间段内完成，未及时入库无法销售，得0分；</w:t>
            </w:r>
          </w:p>
        </w:tc>
      </w:tr>
      <w:tr>
        <w:tblPrEx>
          <w:tblLayout w:type="fixed"/>
          <w:tblCellMar>
            <w:top w:w="0" w:type="dxa"/>
            <w:left w:w="108" w:type="dxa"/>
            <w:bottom w:w="0" w:type="dxa"/>
            <w:right w:w="108" w:type="dxa"/>
          </w:tblCellMar>
        </w:tblPrEx>
        <w:trPr>
          <w:trHeight w:val="680"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spacing w:line="400" w:lineRule="exact"/>
              <w:ind w:firstLine="0"/>
              <w:jc w:val="center"/>
              <w:rPr>
                <w:rFonts w:ascii="仿宋_GB2312" w:hAnsi="仿宋_GB2312" w:eastAsia="仿宋_GB2312" w:cs="仿宋_GB2312"/>
                <w:szCs w:val="21"/>
              </w:rPr>
            </w:pPr>
            <w:r>
              <w:rPr>
                <w:rFonts w:hint="eastAsia" w:ascii="仿宋_GB2312" w:hAnsi="仿宋_GB2312" w:eastAsia="仿宋_GB2312" w:cs="仿宋_GB2312"/>
                <w:szCs w:val="21"/>
              </w:rPr>
              <w:t>商品经营</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46" w:type="dxa"/>
            <w:tcBorders>
              <w:top w:val="nil"/>
              <w:left w:val="nil"/>
              <w:bottom w:val="single" w:color="auto" w:sz="4" w:space="0"/>
              <w:right w:val="single" w:color="auto" w:sz="4" w:space="0"/>
            </w:tcBorders>
            <w:shd w:val="clear" w:color="auto" w:fill="auto"/>
            <w:vAlign w:val="center"/>
          </w:tcPr>
          <w:p>
            <w:pPr>
              <w:pStyle w:val="2"/>
              <w:spacing w:line="400" w:lineRule="exact"/>
              <w:ind w:firstLine="0"/>
              <w:rPr>
                <w:rFonts w:ascii="仿宋_GB2312" w:hAnsi="宋体" w:eastAsia="仿宋_GB2312" w:cs="宋体"/>
                <w:color w:val="000000"/>
                <w:kern w:val="0"/>
                <w:szCs w:val="21"/>
              </w:rPr>
            </w:pPr>
            <w:r>
              <w:rPr>
                <w:rFonts w:hint="eastAsia" w:ascii="仿宋_GB2312" w:hAnsi="仿宋_GB2312" w:eastAsia="仿宋_GB2312" w:cs="仿宋_GB2312"/>
                <w:szCs w:val="21"/>
              </w:rPr>
              <w:t>遵守监督管理，经营需求及时上报，不私自从事经营范围以外的项目，得10分；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不遵守监督管理，得0分；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私自从事经营范围以外的项目，得0分；</w:t>
            </w:r>
          </w:p>
        </w:tc>
      </w:tr>
      <w:tr>
        <w:tblPrEx>
          <w:tblLayout w:type="fixed"/>
          <w:tblCellMar>
            <w:top w:w="0" w:type="dxa"/>
            <w:left w:w="108" w:type="dxa"/>
            <w:bottom w:w="0" w:type="dxa"/>
            <w:right w:w="108" w:type="dxa"/>
          </w:tblCellMar>
        </w:tblPrEx>
        <w:trPr>
          <w:trHeight w:val="680"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spacing w:line="400" w:lineRule="exact"/>
              <w:ind w:firstLine="0"/>
              <w:jc w:val="center"/>
              <w:rPr>
                <w:rFonts w:ascii="仿宋_GB2312" w:hAnsi="宋体" w:eastAsia="仿宋_GB2312" w:cs="宋体"/>
                <w:color w:val="000000"/>
                <w:kern w:val="0"/>
                <w:szCs w:val="21"/>
              </w:rPr>
            </w:pPr>
            <w:r>
              <w:rPr>
                <w:rFonts w:hint="eastAsia" w:ascii="仿宋_GB2312" w:hAnsi="仿宋_GB2312" w:eastAsia="仿宋_GB2312" w:cs="仿宋_GB2312"/>
                <w:szCs w:val="21"/>
              </w:rPr>
              <w:t>硬软件管理</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46" w:type="dxa"/>
            <w:tcBorders>
              <w:top w:val="nil"/>
              <w:left w:val="nil"/>
              <w:bottom w:val="single" w:color="auto" w:sz="4" w:space="0"/>
              <w:right w:val="single" w:color="auto" w:sz="4" w:space="0"/>
            </w:tcBorders>
            <w:shd w:val="clear" w:color="auto" w:fill="auto"/>
            <w:vAlign w:val="center"/>
          </w:tcPr>
          <w:p>
            <w:pPr>
              <w:pStyle w:val="2"/>
              <w:spacing w:line="400" w:lineRule="exact"/>
              <w:ind w:firstLine="0"/>
              <w:rPr>
                <w:rFonts w:ascii="仿宋_GB2312" w:hAnsi="宋体" w:eastAsia="仿宋_GB2312" w:cs="宋体"/>
                <w:color w:val="000000"/>
                <w:kern w:val="0"/>
                <w:szCs w:val="21"/>
              </w:rPr>
            </w:pPr>
            <w:r>
              <w:rPr>
                <w:rFonts w:hint="eastAsia" w:ascii="仿宋_GB2312" w:hAnsi="仿宋_GB2312" w:eastAsia="仿宋_GB2312" w:cs="仿宋_GB2312"/>
                <w:szCs w:val="21"/>
              </w:rPr>
              <w:t>按要求提供硬件设备，使用乐檬系统（含收银系统），得10分；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未按要求提供硬件设备，得0分；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未使用乐檬系统（含收银系统），得0分。</w:t>
            </w:r>
          </w:p>
        </w:tc>
      </w:tr>
      <w:tr>
        <w:tblPrEx>
          <w:tblLayout w:type="fixed"/>
          <w:tblCellMar>
            <w:top w:w="0" w:type="dxa"/>
            <w:left w:w="108" w:type="dxa"/>
            <w:bottom w:w="0" w:type="dxa"/>
            <w:right w:w="108" w:type="dxa"/>
          </w:tblCellMar>
        </w:tblPrEx>
        <w:trPr>
          <w:trHeight w:val="851" w:hRule="atLeast"/>
        </w:trPr>
        <w:tc>
          <w:tcPr>
            <w:tcW w:w="873" w:type="dxa"/>
            <w:tcBorders>
              <w:top w:val="nil"/>
              <w:left w:val="single" w:color="auto" w:sz="4" w:space="0"/>
              <w:bottom w:val="single" w:color="auto" w:sz="4" w:space="0"/>
              <w:right w:val="single" w:color="auto" w:sz="4" w:space="0"/>
            </w:tcBorders>
            <w:shd w:val="clear" w:color="auto" w:fill="auto"/>
            <w:vAlign w:val="center"/>
          </w:tcPr>
          <w:p>
            <w:pPr>
              <w:pStyle w:val="2"/>
              <w:spacing w:line="400" w:lineRule="exact"/>
              <w:ind w:firstLine="0"/>
              <w:jc w:val="center"/>
              <w:rPr>
                <w:rFonts w:ascii="仿宋_GB2312" w:hAnsi="宋体" w:eastAsia="仿宋_GB2312" w:cs="宋体"/>
                <w:color w:val="000000"/>
                <w:kern w:val="0"/>
                <w:szCs w:val="21"/>
              </w:rPr>
            </w:pPr>
            <w:r>
              <w:rPr>
                <w:rFonts w:hint="eastAsia" w:ascii="仿宋_GB2312" w:hAnsi="仿宋_GB2312" w:eastAsia="仿宋_GB2312" w:cs="仿宋_GB2312"/>
                <w:szCs w:val="21"/>
              </w:rPr>
              <w:t>客户满意度</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46" w:type="dxa"/>
            <w:tcBorders>
              <w:top w:val="nil"/>
              <w:left w:val="nil"/>
              <w:bottom w:val="single" w:color="auto" w:sz="4" w:space="0"/>
              <w:right w:val="single" w:color="auto" w:sz="4" w:space="0"/>
            </w:tcBorders>
            <w:shd w:val="clear" w:color="auto" w:fill="auto"/>
            <w:vAlign w:val="center"/>
          </w:tcPr>
          <w:p>
            <w:pPr>
              <w:pStyle w:val="2"/>
              <w:spacing w:line="400" w:lineRule="exact"/>
              <w:ind w:firstLine="0"/>
              <w:rPr>
                <w:rFonts w:ascii="仿宋_GB2312" w:hAnsi="宋体" w:eastAsia="仿宋_GB2312" w:cs="宋体"/>
                <w:color w:val="000000"/>
                <w:kern w:val="0"/>
                <w:szCs w:val="21"/>
              </w:rPr>
            </w:pPr>
            <w:r>
              <w:rPr>
                <w:rFonts w:hint="eastAsia" w:ascii="仿宋_GB2312" w:hAnsi="仿宋_GB2312" w:eastAsia="仿宋_GB2312" w:cs="仿宋_GB2312"/>
                <w:szCs w:val="21"/>
              </w:rPr>
              <w:t>无客户投诉，无违法违纪行为，经营作风良好，得10分；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有客户投诉，得0分；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有违法违纪行为，得0分；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经营作风不佳，得0分。</w:t>
            </w:r>
          </w:p>
        </w:tc>
      </w:tr>
      <w:tr>
        <w:tblPrEx>
          <w:tblLayout w:type="fixed"/>
          <w:tblCellMar>
            <w:top w:w="0" w:type="dxa"/>
            <w:left w:w="108" w:type="dxa"/>
            <w:bottom w:w="0" w:type="dxa"/>
            <w:right w:w="108" w:type="dxa"/>
          </w:tblCellMar>
        </w:tblPrEx>
        <w:trPr>
          <w:trHeight w:val="170" w:hRule="atLeast"/>
        </w:trPr>
        <w:tc>
          <w:tcPr>
            <w:tcW w:w="87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注：考核满分100分，得80分即为考核合格。</w:t>
            </w:r>
          </w:p>
        </w:tc>
      </w:tr>
      <w:tr>
        <w:tblPrEx>
          <w:tblLayout w:type="fixed"/>
          <w:tblCellMar>
            <w:top w:w="0" w:type="dxa"/>
            <w:left w:w="108" w:type="dxa"/>
            <w:bottom w:w="0" w:type="dxa"/>
            <w:right w:w="108" w:type="dxa"/>
          </w:tblCellMar>
        </w:tblPrEx>
        <w:trPr>
          <w:trHeight w:val="405" w:hRule="atLeast"/>
        </w:trPr>
        <w:tc>
          <w:tcPr>
            <w:tcW w:w="8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合作期内招标人将不定期对中标人开展考核工作，考核不合格，招标人可以直接解除合同。</w:t>
            </w:r>
          </w:p>
        </w:tc>
      </w:tr>
    </w:tbl>
    <w:p>
      <w:pPr>
        <w:spacing w:line="560" w:lineRule="exact"/>
        <w:textAlignment w:val="auto"/>
        <w:rPr>
          <w:rFonts w:ascii="仿宋_GB2312" w:hAnsi="仿宋_GB2312" w:eastAsia="仿宋_GB2312" w:cs="仿宋_GB2312"/>
          <w:sz w:val="32"/>
          <w:szCs w:val="32"/>
        </w:rPr>
      </w:pPr>
    </w:p>
    <w:p>
      <w:pPr>
        <w:pStyle w:val="18"/>
        <w:snapToGrid w:val="0"/>
        <w:rPr>
          <w:rStyle w:val="22"/>
        </w:rPr>
      </w:pPr>
    </w:p>
    <w:p>
      <w:pPr>
        <w:snapToGrid w:val="0"/>
        <w:spacing w:line="300" w:lineRule="auto"/>
        <w:jc w:val="center"/>
        <w:rPr>
          <w:rStyle w:val="22"/>
          <w:rFonts w:ascii="黑体" w:hAnsi="黑体" w:eastAsia="黑体" w:cs="黑体"/>
          <w:bCs/>
          <w:sz w:val="32"/>
          <w:szCs w:val="32"/>
        </w:rPr>
      </w:pPr>
    </w:p>
    <w:p>
      <w:pPr>
        <w:snapToGrid w:val="0"/>
        <w:spacing w:line="300" w:lineRule="auto"/>
        <w:jc w:val="center"/>
        <w:rPr>
          <w:rStyle w:val="22"/>
          <w:rFonts w:ascii="黑体" w:hAnsi="黑体" w:eastAsia="黑体" w:cs="黑体"/>
          <w:bCs/>
          <w:sz w:val="32"/>
          <w:szCs w:val="32"/>
        </w:rPr>
      </w:pPr>
    </w:p>
    <w:p>
      <w:pPr>
        <w:snapToGrid w:val="0"/>
        <w:spacing w:line="300" w:lineRule="auto"/>
        <w:jc w:val="center"/>
        <w:rPr>
          <w:rStyle w:val="22"/>
          <w:rFonts w:ascii="方正小标宋_GBK" w:hAnsi="方正小标宋_GBK" w:eastAsia="方正小标宋_GBK" w:cs="方正小标宋_GBK"/>
          <w:bCs/>
          <w:sz w:val="44"/>
          <w:szCs w:val="44"/>
        </w:rPr>
      </w:pPr>
      <w:r>
        <w:rPr>
          <w:rStyle w:val="22"/>
          <w:rFonts w:hint="eastAsia" w:ascii="方正小标宋_GBK" w:hAnsi="方正小标宋_GBK" w:eastAsia="方正小标宋_GBK" w:cs="方正小标宋_GBK"/>
          <w:bCs/>
          <w:sz w:val="44"/>
          <w:szCs w:val="44"/>
        </w:rPr>
        <w:t>第六部分  质疑提出和处理</w:t>
      </w:r>
    </w:p>
    <w:p>
      <w:pPr>
        <w:keepLines/>
        <w:snapToGrid w:val="0"/>
        <w:spacing w:before="120" w:after="120" w:line="560" w:lineRule="exact"/>
        <w:rPr>
          <w:rStyle w:val="22"/>
          <w:rFonts w:ascii="黑体" w:hAnsi="黑体" w:eastAsia="黑体" w:cs="黑体"/>
          <w:bCs/>
          <w:sz w:val="32"/>
          <w:szCs w:val="32"/>
          <w:lang w:val="en-GB"/>
        </w:rPr>
      </w:pPr>
      <w:r>
        <w:rPr>
          <w:rStyle w:val="22"/>
          <w:rFonts w:hint="eastAsia" w:ascii="黑体" w:hAnsi="黑体" w:eastAsia="黑体" w:cs="黑体"/>
          <w:bCs/>
          <w:sz w:val="32"/>
          <w:szCs w:val="32"/>
          <w:lang w:val="en-GB"/>
        </w:rPr>
        <w:t>一、质疑的提出</w:t>
      </w:r>
    </w:p>
    <w:p>
      <w:pPr>
        <w:snapToGrid w:val="0"/>
        <w:spacing w:line="560" w:lineRule="exact"/>
        <w:ind w:left="-360"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1、质疑人必须是直接参加本次招标活动的当事人。</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2、</w:t>
      </w:r>
      <w:r>
        <w:rPr>
          <w:rStyle w:val="22"/>
          <w:rFonts w:hint="eastAsia" w:ascii="仿宋_GB2312" w:hAnsi="仿宋_GB2312" w:eastAsia="仿宋_GB2312" w:cs="仿宋_GB2312"/>
          <w:sz w:val="32"/>
          <w:szCs w:val="32"/>
          <w:lang w:val="zh-CN"/>
        </w:rPr>
        <w:t>供应商下载招标文件后，应仔细检查招标文件的所有内容，如对本次招标文件存在疑问，</w:t>
      </w:r>
      <w:r>
        <w:rPr>
          <w:rStyle w:val="22"/>
          <w:rFonts w:hint="eastAsia" w:ascii="仿宋_GB2312" w:hAnsi="仿宋_GB2312" w:eastAsia="仿宋_GB2312" w:cs="仿宋_GB2312"/>
          <w:sz w:val="32"/>
          <w:szCs w:val="32"/>
        </w:rPr>
        <w:t>请将书面询问文件在本项目投标截止时间24小时前</w:t>
      </w:r>
      <w:r>
        <w:rPr>
          <w:rStyle w:val="22"/>
          <w:rFonts w:hint="eastAsia" w:ascii="仿宋_GB2312" w:hAnsi="仿宋_GB2312" w:eastAsia="仿宋_GB2312" w:cs="仿宋_GB2312"/>
          <w:sz w:val="32"/>
          <w:szCs w:val="32"/>
          <w:lang w:val="zh-CN"/>
        </w:rPr>
        <w:t>送至采购单位。</w:t>
      </w:r>
    </w:p>
    <w:p>
      <w:pPr>
        <w:snapToGrid w:val="0"/>
        <w:spacing w:line="560" w:lineRule="exact"/>
        <w:ind w:left="-360"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rPr>
        <w:t>3</w:t>
      </w:r>
      <w:r>
        <w:rPr>
          <w:rStyle w:val="22"/>
          <w:rFonts w:hint="eastAsia" w:ascii="仿宋_GB2312" w:hAnsi="仿宋_GB2312" w:eastAsia="仿宋_GB2312" w:cs="仿宋_GB2312"/>
          <w:sz w:val="32"/>
          <w:szCs w:val="32"/>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Style w:val="22"/>
          <w:rFonts w:hint="eastAsia" w:ascii="仿宋_GB2312" w:hAnsi="仿宋_GB2312" w:eastAsia="仿宋_GB2312" w:cs="仿宋_GB2312"/>
          <w:sz w:val="32"/>
          <w:szCs w:val="32"/>
        </w:rPr>
        <w:t>采购</w:t>
      </w:r>
      <w:r>
        <w:rPr>
          <w:rStyle w:val="22"/>
          <w:rFonts w:hint="eastAsia" w:ascii="仿宋_GB2312" w:hAnsi="仿宋_GB2312" w:eastAsia="仿宋_GB2312" w:cs="仿宋_GB2312"/>
          <w:sz w:val="32"/>
          <w:szCs w:val="32"/>
          <w:lang w:val="zh-CN"/>
        </w:rPr>
        <w:t>人。</w:t>
      </w:r>
      <w:r>
        <w:rPr>
          <w:rStyle w:val="22"/>
          <w:rFonts w:hint="eastAsia" w:ascii="仿宋_GB2312" w:hAnsi="仿宋_GB2312" w:eastAsia="仿宋_GB2312" w:cs="仿宋_GB2312"/>
          <w:sz w:val="32"/>
          <w:szCs w:val="32"/>
        </w:rPr>
        <w:t>采购</w:t>
      </w:r>
      <w:r>
        <w:rPr>
          <w:rStyle w:val="22"/>
          <w:rFonts w:hint="eastAsia" w:ascii="仿宋_GB2312" w:hAnsi="仿宋_GB2312" w:eastAsia="仿宋_GB2312" w:cs="仿宋_GB2312"/>
          <w:sz w:val="32"/>
          <w:szCs w:val="32"/>
          <w:lang w:val="zh-CN"/>
        </w:rPr>
        <w:t>人不具有法定调查、认定权限。</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4、对本次招标有质疑的，实行实名制，不得进行虚假、恶意质疑。质疑人应在质疑有效期内以书面形式</w:t>
      </w:r>
      <w:r>
        <w:rPr>
          <w:rStyle w:val="22"/>
          <w:rFonts w:hint="eastAsia" w:ascii="仿宋_GB2312" w:hAnsi="仿宋_GB2312" w:eastAsia="仿宋_GB2312" w:cs="仿宋_GB2312"/>
          <w:sz w:val="32"/>
          <w:szCs w:val="32"/>
          <w:lang w:val="zh-CN"/>
        </w:rPr>
        <w:t>提出《质疑函》（格式请下载）</w:t>
      </w:r>
      <w:r>
        <w:rPr>
          <w:rStyle w:val="22"/>
          <w:rFonts w:hint="eastAsia" w:ascii="仿宋_GB2312" w:hAnsi="仿宋_GB2312" w:eastAsia="仿宋_GB2312" w:cs="仿宋_GB2312"/>
          <w:sz w:val="32"/>
          <w:szCs w:val="32"/>
        </w:rPr>
        <w:t>，《质疑函》内容应</w:t>
      </w:r>
      <w:r>
        <w:rPr>
          <w:rStyle w:val="22"/>
          <w:rFonts w:hint="eastAsia" w:ascii="仿宋_GB2312" w:hAnsi="仿宋_GB2312" w:eastAsia="仿宋_GB2312" w:cs="仿宋_GB2312"/>
          <w:sz w:val="32"/>
          <w:szCs w:val="32"/>
          <w:lang w:val="zh-CN"/>
        </w:rPr>
        <w:t>包括</w:t>
      </w:r>
      <w:r>
        <w:rPr>
          <w:rStyle w:val="22"/>
          <w:rFonts w:hint="eastAsia" w:ascii="仿宋_GB2312" w:hAnsi="仿宋_GB2312" w:eastAsia="仿宋_GB2312" w:cs="仿宋_GB2312"/>
          <w:sz w:val="32"/>
          <w:szCs w:val="32"/>
        </w:rPr>
        <w:t>质疑事项、主要内容、事实依据、适应法规条款、佐证材料等。同时，质疑人应保证其提出的质疑内容及相关佐证材料的真实性及来源的合法性，并承担相应的法律责任。</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lang w:val="zh-CN"/>
        </w:rPr>
        <w:t>对不能提供</w:t>
      </w:r>
      <w:r>
        <w:rPr>
          <w:rStyle w:val="22"/>
          <w:rFonts w:hint="eastAsia" w:ascii="仿宋_GB2312" w:hAnsi="仿宋_GB2312" w:eastAsia="仿宋_GB2312" w:cs="仿宋_GB2312"/>
          <w:sz w:val="32"/>
          <w:szCs w:val="32"/>
        </w:rPr>
        <w:t>相关佐证材料的、涉及商业秘密的、非书面形式的、非送达的、匿名的《质疑函》将不予受理。</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相关佐证材料要具备客观性、关联性、合法性，无法查实的（如宣传册、媒体报道、猜测、推理等）不能作为佐证材料。</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5、本项目要求供应商在法定质疑期内一次性提出针对同一采购程序环节的质疑。</w:t>
      </w:r>
    </w:p>
    <w:p>
      <w:pPr>
        <w:snapToGrid w:val="0"/>
        <w:spacing w:line="560" w:lineRule="exact"/>
        <w:ind w:left="-360"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6、提供报名回执的复印件，由供应商法人代表签字或盖章，并加盖供应商公章，对不能提供的将不予受理。</w:t>
      </w:r>
    </w:p>
    <w:p>
      <w:pPr>
        <w:keepLines/>
        <w:snapToGrid w:val="0"/>
        <w:spacing w:before="120" w:after="120" w:line="560" w:lineRule="exact"/>
        <w:rPr>
          <w:rStyle w:val="22"/>
          <w:rFonts w:ascii="黑体" w:hAnsi="黑体" w:eastAsia="黑体" w:cs="黑体"/>
          <w:bCs/>
          <w:sz w:val="32"/>
          <w:szCs w:val="32"/>
          <w:lang w:val="en-GB"/>
        </w:rPr>
      </w:pPr>
      <w:r>
        <w:rPr>
          <w:rStyle w:val="22"/>
          <w:rFonts w:hint="eastAsia" w:ascii="黑体" w:hAnsi="黑体" w:eastAsia="黑体" w:cs="黑体"/>
          <w:bCs/>
          <w:sz w:val="32"/>
          <w:szCs w:val="32"/>
          <w:lang w:val="en-GB"/>
        </w:rPr>
        <w:t>二、《质疑函》的受理和回复</w:t>
      </w:r>
    </w:p>
    <w:p>
      <w:pPr>
        <w:snapToGrid w:val="0"/>
        <w:spacing w:line="560" w:lineRule="exact"/>
        <w:ind w:left="-360"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rPr>
        <w:t>1、《质疑函》须由质疑人的法定代表人或参加本次招标授权人</w:t>
      </w:r>
      <w:r>
        <w:rPr>
          <w:rStyle w:val="22"/>
          <w:rFonts w:hint="eastAsia" w:ascii="仿宋_GB2312" w:hAnsi="仿宋_GB2312" w:eastAsia="仿宋_GB2312" w:cs="仿宋_GB2312"/>
          <w:sz w:val="32"/>
          <w:szCs w:val="32"/>
          <w:lang w:val="zh-CN"/>
        </w:rPr>
        <w:t>送达采购单位和招标人。</w:t>
      </w:r>
    </w:p>
    <w:p>
      <w:pPr>
        <w:snapToGrid w:val="0"/>
        <w:spacing w:line="560" w:lineRule="exact"/>
        <w:ind w:left="-360"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2、在处理过程中，发现需要质疑人进一步补充相关佐证材料的，请质疑人在规定的时间内提供，质疑回复时间相应顺延。质疑人不能按时提供相关佐证材料的，视同放弃质疑。</w:t>
      </w:r>
    </w:p>
    <w:p>
      <w:pPr>
        <w:keepLines/>
        <w:snapToGrid w:val="0"/>
        <w:spacing w:before="120" w:after="120" w:line="560" w:lineRule="exact"/>
        <w:rPr>
          <w:rStyle w:val="22"/>
          <w:rFonts w:ascii="黑体" w:hAnsi="黑体" w:eastAsia="黑体" w:cs="黑体"/>
          <w:bCs/>
          <w:sz w:val="32"/>
          <w:szCs w:val="32"/>
          <w:lang w:val="zh-CN"/>
        </w:rPr>
      </w:pPr>
      <w:r>
        <w:rPr>
          <w:rStyle w:val="22"/>
          <w:rFonts w:hint="eastAsia" w:ascii="黑体" w:hAnsi="黑体" w:eastAsia="黑体" w:cs="黑体"/>
          <w:bCs/>
          <w:sz w:val="32"/>
          <w:szCs w:val="32"/>
          <w:lang w:val="zh-CN"/>
        </w:rPr>
        <w:t>三、质疑处理</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1、质疑成立的处理。中华人民共和国财政部令第94号《政府采购质疑和投诉办法》处理。</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2、质疑不成立的处理。</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1）质疑人书面《申请撤回质疑函》的，不作违约处理。</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rPr>
        <w:t>2）质疑人在规定的时间内不配合进行质疑调查处理的，按自动撤回《质疑函》处理。</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3）质疑人不按《质疑函》格式就提出质疑的，作违约处理。</w:t>
      </w:r>
      <w:r>
        <w:rPr>
          <w:rStyle w:val="22"/>
          <w:rFonts w:hint="eastAsia" w:ascii="仿宋_GB2312" w:hAnsi="仿宋_GB2312" w:eastAsia="仿宋_GB2312" w:cs="仿宋_GB2312"/>
          <w:sz w:val="32"/>
          <w:szCs w:val="32"/>
        </w:rPr>
        <w:t>招标人有权收取其保证金的10%作为违约金；同时，视情</w:t>
      </w:r>
      <w:r>
        <w:rPr>
          <w:rStyle w:val="22"/>
          <w:rFonts w:hint="eastAsia" w:ascii="仿宋_GB2312" w:hAnsi="仿宋_GB2312" w:eastAsia="仿宋_GB2312" w:cs="仿宋_GB2312"/>
          <w:sz w:val="32"/>
          <w:szCs w:val="32"/>
          <w:lang w:val="zh-CN"/>
        </w:rPr>
        <w:t>列入不良供应商名单。</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4）质疑人虽提供了相关</w:t>
      </w:r>
      <w:r>
        <w:rPr>
          <w:rStyle w:val="22"/>
          <w:rFonts w:hint="eastAsia" w:ascii="仿宋_GB2312" w:hAnsi="仿宋_GB2312" w:eastAsia="仿宋_GB2312" w:cs="仿宋_GB2312"/>
          <w:sz w:val="32"/>
          <w:szCs w:val="32"/>
        </w:rPr>
        <w:t>佐证材料</w:t>
      </w:r>
      <w:r>
        <w:rPr>
          <w:rStyle w:val="22"/>
          <w:rFonts w:hint="eastAsia" w:ascii="仿宋_GB2312" w:hAnsi="仿宋_GB2312" w:eastAsia="仿宋_GB2312" w:cs="仿宋_GB2312"/>
          <w:sz w:val="32"/>
          <w:szCs w:val="32"/>
          <w:lang w:val="zh-CN"/>
        </w:rPr>
        <w:t>，但不能证明其质疑成立的，招标人请质疑人补充相关</w:t>
      </w:r>
      <w:r>
        <w:rPr>
          <w:rStyle w:val="22"/>
          <w:rFonts w:hint="eastAsia" w:ascii="仿宋_GB2312" w:hAnsi="仿宋_GB2312" w:eastAsia="仿宋_GB2312" w:cs="仿宋_GB2312"/>
          <w:sz w:val="32"/>
          <w:szCs w:val="32"/>
        </w:rPr>
        <w:t>佐证材料</w:t>
      </w:r>
      <w:r>
        <w:rPr>
          <w:rStyle w:val="22"/>
          <w:rFonts w:hint="eastAsia" w:ascii="仿宋_GB2312" w:hAnsi="仿宋_GB2312" w:eastAsia="仿宋_GB2312" w:cs="仿宋_GB2312"/>
          <w:sz w:val="32"/>
          <w:szCs w:val="32"/>
          <w:lang w:val="zh-CN"/>
        </w:rPr>
        <w:t>，仍不能证明其质疑成立的，作违约处理。</w:t>
      </w:r>
      <w:r>
        <w:rPr>
          <w:rStyle w:val="22"/>
          <w:rFonts w:hint="eastAsia" w:ascii="仿宋_GB2312" w:hAnsi="仿宋_GB2312" w:eastAsia="仿宋_GB2312" w:cs="仿宋_GB2312"/>
          <w:sz w:val="32"/>
          <w:szCs w:val="32"/>
        </w:rPr>
        <w:t>招标人有权收取其保证金的50%作为违约金；同时，</w:t>
      </w:r>
      <w:r>
        <w:rPr>
          <w:rStyle w:val="22"/>
          <w:rFonts w:hint="eastAsia" w:ascii="仿宋_GB2312" w:hAnsi="仿宋_GB2312" w:eastAsia="仿宋_GB2312" w:cs="仿宋_GB2312"/>
          <w:sz w:val="32"/>
          <w:szCs w:val="32"/>
          <w:lang w:val="zh-CN"/>
        </w:rPr>
        <w:t>列入不良供应商名单。</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5）质疑人不能提供相关</w:t>
      </w:r>
      <w:r>
        <w:rPr>
          <w:rStyle w:val="22"/>
          <w:rFonts w:hint="eastAsia" w:ascii="仿宋_GB2312" w:hAnsi="仿宋_GB2312" w:eastAsia="仿宋_GB2312" w:cs="仿宋_GB2312"/>
          <w:sz w:val="32"/>
          <w:szCs w:val="32"/>
        </w:rPr>
        <w:t>佐证材料</w:t>
      </w:r>
      <w:r>
        <w:rPr>
          <w:rStyle w:val="22"/>
          <w:rFonts w:hint="eastAsia" w:ascii="仿宋_GB2312" w:hAnsi="仿宋_GB2312" w:eastAsia="仿宋_GB2312" w:cs="仿宋_GB2312"/>
          <w:sz w:val="32"/>
          <w:szCs w:val="32"/>
          <w:lang w:val="zh-CN"/>
        </w:rPr>
        <w:t>的，招标人已指出，质疑人仍然坚持提出质疑的，作违约处理。</w:t>
      </w:r>
      <w:r>
        <w:rPr>
          <w:rStyle w:val="22"/>
          <w:rFonts w:hint="eastAsia" w:ascii="仿宋_GB2312" w:hAnsi="仿宋_GB2312" w:eastAsia="仿宋_GB2312" w:cs="仿宋_GB2312"/>
          <w:sz w:val="32"/>
          <w:szCs w:val="32"/>
        </w:rPr>
        <w:t>招标人有权收取其保证金的100%作为违约金；取消相应会员资格6个月，同时，</w:t>
      </w:r>
      <w:r>
        <w:rPr>
          <w:rStyle w:val="22"/>
          <w:rFonts w:hint="eastAsia" w:ascii="仿宋_GB2312" w:hAnsi="仿宋_GB2312" w:eastAsia="仿宋_GB2312" w:cs="仿宋_GB2312"/>
          <w:sz w:val="32"/>
          <w:szCs w:val="32"/>
          <w:lang w:val="zh-CN"/>
        </w:rPr>
        <w:t>列入不良供应商名单。</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6）对明显有违背事实的、经相关专家或评委认定无依据的、经其他投标人举证无依据的质疑，作违约处理，</w:t>
      </w:r>
      <w:r>
        <w:rPr>
          <w:rStyle w:val="22"/>
          <w:rFonts w:hint="eastAsia" w:ascii="仿宋_GB2312" w:hAnsi="仿宋_GB2312" w:eastAsia="仿宋_GB2312" w:cs="仿宋_GB2312"/>
          <w:sz w:val="32"/>
          <w:szCs w:val="32"/>
        </w:rPr>
        <w:t>招标人有权取消其会员资格，收取其保证金的100%作为违约金，</w:t>
      </w:r>
      <w:r>
        <w:rPr>
          <w:rStyle w:val="22"/>
          <w:rFonts w:hint="eastAsia" w:ascii="仿宋_GB2312" w:hAnsi="仿宋_GB2312" w:eastAsia="仿宋_GB2312" w:cs="仿宋_GB2312"/>
          <w:sz w:val="32"/>
          <w:szCs w:val="32"/>
          <w:lang w:val="zh-CN"/>
        </w:rPr>
        <w:t>列入不良供应商名单；</w:t>
      </w:r>
      <w:r>
        <w:rPr>
          <w:rStyle w:val="22"/>
          <w:rFonts w:hint="eastAsia" w:ascii="仿宋_GB2312" w:hAnsi="仿宋_GB2312" w:eastAsia="仿宋_GB2312" w:cs="仿宋_GB2312"/>
          <w:sz w:val="32"/>
          <w:szCs w:val="32"/>
        </w:rPr>
        <w:t>同时，</w:t>
      </w:r>
      <w:r>
        <w:rPr>
          <w:rStyle w:val="22"/>
          <w:rFonts w:hint="eastAsia" w:ascii="仿宋_GB2312" w:hAnsi="仿宋_GB2312" w:eastAsia="仿宋_GB2312" w:cs="仿宋_GB2312"/>
          <w:sz w:val="32"/>
          <w:szCs w:val="32"/>
          <w:lang w:val="zh-CN"/>
        </w:rPr>
        <w:t>对其中每一项不成立的质疑给予质疑人1年内禁入由招标人组织的政府采购活动的违约处理，依次类推；视情在南通</w:t>
      </w:r>
      <w:r>
        <w:rPr>
          <w:rStyle w:val="22"/>
          <w:rFonts w:hint="eastAsia" w:ascii="仿宋_GB2312" w:hAnsi="仿宋_GB2312" w:eastAsia="仿宋_GB2312" w:cs="仿宋_GB2312"/>
          <w:sz w:val="32"/>
          <w:szCs w:val="32"/>
        </w:rPr>
        <w:t>市公共资源交易中心网</w:t>
      </w:r>
      <w:r>
        <w:rPr>
          <w:rStyle w:val="22"/>
          <w:rFonts w:hint="eastAsia" w:ascii="仿宋_GB2312" w:hAnsi="仿宋_GB2312" w:eastAsia="仿宋_GB2312" w:cs="仿宋_GB2312"/>
          <w:sz w:val="32"/>
          <w:szCs w:val="32"/>
          <w:lang w:val="zh-CN"/>
        </w:rPr>
        <w:t>、省、国家级相关媒体予以披露。</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7）</w:t>
      </w:r>
      <w:r>
        <w:rPr>
          <w:rStyle w:val="22"/>
          <w:rFonts w:hint="eastAsia" w:ascii="仿宋_GB2312" w:hAnsi="仿宋_GB2312" w:eastAsia="仿宋_GB2312" w:cs="仿宋_GB2312"/>
          <w:sz w:val="32"/>
          <w:szCs w:val="32"/>
        </w:rPr>
        <w:t>质疑人</w:t>
      </w:r>
      <w:r>
        <w:rPr>
          <w:rStyle w:val="22"/>
          <w:rFonts w:hint="eastAsia" w:ascii="仿宋_GB2312" w:hAnsi="仿宋_GB2312" w:eastAsia="仿宋_GB2312" w:cs="仿宋_GB2312"/>
          <w:sz w:val="32"/>
          <w:szCs w:val="32"/>
          <w:lang w:val="zh-CN"/>
        </w:rPr>
        <w:t>承担使用虚假材料或恶意方式质疑的法律责任。</w:t>
      </w:r>
    </w:p>
    <w:p>
      <w:pPr>
        <w:snapToGrid w:val="0"/>
        <w:spacing w:line="560" w:lineRule="exact"/>
        <w:ind w:left="-363" w:firstLine="640" w:firstLineChars="200"/>
        <w:rPr>
          <w:rStyle w:val="22"/>
          <w:rFonts w:ascii="黑体" w:hAnsi="黑体" w:eastAsia="黑体" w:cs="黑体"/>
          <w:sz w:val="32"/>
          <w:szCs w:val="32"/>
          <w:lang w:val="zh-CN"/>
        </w:rPr>
      </w:pPr>
      <w:r>
        <w:rPr>
          <w:rStyle w:val="22"/>
          <w:rFonts w:hint="eastAsia" w:ascii="黑体" w:hAnsi="黑体" w:eastAsia="黑体" w:cs="黑体"/>
          <w:sz w:val="32"/>
          <w:szCs w:val="32"/>
          <w:lang w:val="zh-CN"/>
        </w:rPr>
        <w:t>四、无佐证材料的举报作违约处理。</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供应商不得进行不提供相关佐证材料（含无法查实的</w:t>
      </w:r>
      <w:r>
        <w:rPr>
          <w:rStyle w:val="22"/>
          <w:rFonts w:hint="eastAsia" w:ascii="仿宋_GB2312" w:hAnsi="仿宋_GB2312" w:eastAsia="仿宋_GB2312" w:cs="仿宋_GB2312"/>
          <w:sz w:val="32"/>
          <w:szCs w:val="32"/>
        </w:rPr>
        <w:t>如宣传册、媒体报道、猜测、推理等）</w:t>
      </w:r>
      <w:r>
        <w:rPr>
          <w:rStyle w:val="22"/>
          <w:rFonts w:hint="eastAsia" w:ascii="仿宋_GB2312" w:hAnsi="仿宋_GB2312" w:eastAsia="仿宋_GB2312" w:cs="仿宋_GB2312"/>
          <w:sz w:val="32"/>
          <w:szCs w:val="32"/>
          <w:lang w:val="zh-CN"/>
        </w:rPr>
        <w:t>向有关部门的举报，否则作违约处理。招标人有权取消其相应的会员资格，同时对其在1至3年内禁入由招标人组织的政府采购活动的违约处理。</w:t>
      </w:r>
    </w:p>
    <w:p>
      <w:pPr>
        <w:numPr>
          <w:ilvl w:val="0"/>
          <w:numId w:val="3"/>
        </w:numPr>
        <w:snapToGrid w:val="0"/>
        <w:spacing w:line="560" w:lineRule="exact"/>
        <w:ind w:left="-363" w:firstLine="640" w:firstLineChars="200"/>
        <w:rPr>
          <w:rStyle w:val="22"/>
          <w:rFonts w:ascii="黑体" w:hAnsi="黑体" w:eastAsia="黑体" w:cs="黑体"/>
          <w:sz w:val="32"/>
          <w:szCs w:val="32"/>
        </w:rPr>
      </w:pPr>
      <w:r>
        <w:rPr>
          <w:rStyle w:val="22"/>
          <w:rFonts w:hint="eastAsia" w:ascii="黑体" w:hAnsi="黑体" w:eastAsia="黑体" w:cs="黑体"/>
          <w:sz w:val="32"/>
          <w:szCs w:val="32"/>
        </w:rPr>
        <w:t>投诉不成立的作违约处理。</w:t>
      </w:r>
    </w:p>
    <w:p>
      <w:pPr>
        <w:snapToGrid w:val="0"/>
        <w:spacing w:line="560" w:lineRule="exact"/>
        <w:ind w:left="-363"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供应商进行质疑后，招标人回复质疑不成立，供应商仍进行投诉的，并最终投诉不成立的，作违约处理。招标人有权取消其相应的会员资格，同时对其在1至3年内禁入由招标人组织的政府采购活动的违约处理。</w:t>
      </w:r>
    </w:p>
    <w:p>
      <w:pPr>
        <w:numPr>
          <w:ilvl w:val="0"/>
          <w:numId w:val="3"/>
        </w:numPr>
        <w:snapToGrid w:val="0"/>
        <w:spacing w:line="560" w:lineRule="exact"/>
        <w:ind w:left="-360" w:firstLine="640" w:firstLineChars="200"/>
        <w:rPr>
          <w:rStyle w:val="22"/>
          <w:rFonts w:ascii="黑体" w:hAnsi="黑体" w:eastAsia="黑体" w:cs="黑体"/>
          <w:sz w:val="32"/>
          <w:szCs w:val="32"/>
        </w:rPr>
      </w:pPr>
      <w:r>
        <w:rPr>
          <w:rStyle w:val="22"/>
          <w:rFonts w:hint="eastAsia" w:ascii="黑体" w:hAnsi="黑体" w:eastAsia="黑体" w:cs="黑体"/>
          <w:sz w:val="32"/>
          <w:szCs w:val="32"/>
        </w:rPr>
        <w:t>《质疑函》、《质疑回复函》</w:t>
      </w:r>
    </w:p>
    <w:p>
      <w:pPr>
        <w:snapToGrid w:val="0"/>
        <w:spacing w:line="560" w:lineRule="exact"/>
        <w:ind w:left="-360" w:firstLine="640" w:firstLineChars="200"/>
        <w:rPr>
          <w:rStyle w:val="22"/>
          <w:rFonts w:ascii="仿宋_GB2312" w:hAnsi="仿宋_GB2312" w:eastAsia="仿宋_GB2312" w:cs="仿宋_GB2312"/>
          <w:sz w:val="32"/>
          <w:szCs w:val="32"/>
          <w:lang w:val="zh-CN"/>
        </w:rPr>
      </w:pPr>
      <w:r>
        <w:rPr>
          <w:rStyle w:val="22"/>
          <w:rFonts w:hint="eastAsia" w:ascii="仿宋_GB2312" w:hAnsi="仿宋_GB2312" w:eastAsia="仿宋_GB2312" w:cs="仿宋_GB2312"/>
          <w:sz w:val="32"/>
          <w:szCs w:val="32"/>
          <w:lang w:val="zh-CN"/>
        </w:rPr>
        <w:t>质疑、举报、投诉不成立的等相关情况，视情在南通政府采购网、省、国家级等相关媒体予以披露。并建议相关政府采购机构对该供应商同步实施1至3年内禁入。</w:t>
      </w:r>
    </w:p>
    <w:p>
      <w:pPr>
        <w:snapToGrid w:val="0"/>
        <w:spacing w:line="560" w:lineRule="exact"/>
        <w:ind w:left="-360" w:firstLine="640" w:firstLineChars="200"/>
        <w:rPr>
          <w:rStyle w:val="22"/>
          <w:rFonts w:ascii="仿宋_GB2312" w:hAnsi="仿宋_GB2312" w:eastAsia="仿宋_GB2312" w:cs="仿宋_GB2312"/>
          <w:sz w:val="32"/>
          <w:szCs w:val="32"/>
          <w:lang w:val="zh-CN"/>
        </w:rPr>
        <w:sectPr>
          <w:headerReference r:id="rId4" w:type="default"/>
          <w:footerReference r:id="rId5" w:type="default"/>
          <w:pgSz w:w="11906" w:h="16838"/>
          <w:pgMar w:top="1814" w:right="1531" w:bottom="1985" w:left="1531" w:header="851" w:footer="907" w:gutter="0"/>
          <w:cols w:space="720" w:num="1"/>
          <w:docGrid w:linePitch="290" w:charSpace="0"/>
        </w:sectPr>
      </w:pPr>
    </w:p>
    <w:p>
      <w:pPr>
        <w:pStyle w:val="18"/>
        <w:snapToGrid w:val="0"/>
        <w:spacing w:line="360" w:lineRule="auto"/>
        <w:ind w:left="-360" w:firstLine="868" w:firstLineChars="200"/>
        <w:jc w:val="center"/>
        <w:rPr>
          <w:rStyle w:val="22"/>
          <w:rFonts w:ascii="方正小标宋_GBK" w:hAnsi="方正小标宋_GBK" w:eastAsia="方正小标宋_GBK" w:cs="方正小标宋_GBK"/>
          <w:bCs/>
          <w:sz w:val="44"/>
          <w:szCs w:val="44"/>
          <w:lang w:val="en-GB"/>
        </w:rPr>
      </w:pPr>
      <w:r>
        <w:rPr>
          <w:rStyle w:val="22"/>
          <w:rFonts w:hint="eastAsia" w:ascii="方正小标宋_GBK" w:hAnsi="方正小标宋_GBK" w:eastAsia="方正小标宋_GBK" w:cs="方正小标宋_GBK"/>
          <w:bCs/>
          <w:sz w:val="44"/>
          <w:szCs w:val="44"/>
          <w:lang w:val="en-GB"/>
        </w:rPr>
        <w:t>第七部分投标文件格式</w:t>
      </w:r>
    </w:p>
    <w:p>
      <w:pPr>
        <w:pStyle w:val="20"/>
        <w:snapToGrid w:val="0"/>
        <w:rPr>
          <w:rStyle w:val="22"/>
          <w:rFonts w:ascii="Arial" w:hAnsi="Arial" w:eastAsia="黑体"/>
          <w:b w:val="0"/>
          <w:bCs/>
          <w:sz w:val="32"/>
          <w:szCs w:val="32"/>
        </w:rPr>
      </w:pPr>
      <w:r>
        <w:rPr>
          <w:rStyle w:val="22"/>
          <w:rFonts w:ascii="Arial" w:hAnsi="Arial" w:eastAsia="黑体"/>
          <w:b w:val="0"/>
          <w:bCs/>
          <w:sz w:val="32"/>
          <w:szCs w:val="32"/>
        </w:rPr>
        <w:t>投标资料目录</w:t>
      </w:r>
    </w:p>
    <w:tbl>
      <w:tblPr>
        <w:tblStyle w:val="11"/>
        <w:tblW w:w="995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2745"/>
        <w:gridCol w:w="2054"/>
        <w:gridCol w:w="1541"/>
        <w:gridCol w:w="2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序号</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招标文件要求</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证明材料名称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响应文件位置</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1</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关于资格的声明函</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2</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法定代表人身份证明书</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3</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授权委托书</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4</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授权代表为投标企业正式人员证明</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须提供用工合同复印件及2021年10月至2022年3月单位为其缴纳的社保证明材料</w:t>
            </w: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5</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营业执照</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6</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依法缴纳税收和社会保障资金的相关材料</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7</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具备履行合同所必需设备和专业技术能力</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8</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参加政府采购活动前三年内在经营活动中没有重大违法记录的书面声明</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9</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Fonts w:hint="eastAsia"/>
                <w:szCs w:val="21"/>
              </w:rPr>
              <w:t>一年度的财务报告（成立不满一年不需提供）及上一年度的财务状况报告承诺函</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10</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 xml:space="preserve">投标供应商其他资格要求 </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11</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hint="eastAsia" w:ascii="宋体" w:hAnsi="宋体"/>
                <w:szCs w:val="21"/>
              </w:rPr>
              <w:t>技术标内容</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Fonts w:hint="eastAsia" w:ascii="宋体" w:hAnsi="宋体" w:cs="宋体"/>
                <w:kern w:val="0"/>
                <w:szCs w:val="21"/>
              </w:rPr>
              <w:t>按照评分标准提供相应的材料及方案，文件目录前提供评分索引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12</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rPr>
              <w:t>投标人认为需要提交的其他资料</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lang w:val="en-GB"/>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13</w:t>
            </w:r>
          </w:p>
        </w:tc>
        <w:tc>
          <w:tcPr>
            <w:tcW w:w="2745"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lang w:val="en-GB"/>
              </w:rPr>
            </w:pPr>
            <w:r>
              <w:rPr>
                <w:rStyle w:val="22"/>
                <w:rFonts w:ascii="宋体" w:hAnsi="宋体"/>
                <w:szCs w:val="21"/>
                <w:lang w:val="en-GB"/>
              </w:rPr>
              <w:t>报价一览表</w:t>
            </w:r>
          </w:p>
        </w:tc>
        <w:tc>
          <w:tcPr>
            <w:tcW w:w="2054"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lang w:val="en-GB"/>
              </w:rPr>
            </w:pPr>
            <w:r>
              <w:rPr>
                <w:rStyle w:val="22"/>
                <w:rFonts w:ascii="宋体" w:hAnsi="宋体"/>
                <w:szCs w:val="21"/>
                <w:lang w:val="en-GB"/>
              </w:rPr>
              <w:t>一份，需单独密封</w:t>
            </w: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第    页</w:t>
            </w:r>
          </w:p>
        </w:tc>
        <w:tc>
          <w:tcPr>
            <w:tcW w:w="2891" w:type="dxa"/>
            <w:tcBorders>
              <w:top w:val="single" w:color="000000" w:sz="4" w:space="0"/>
              <w:left w:val="single" w:color="000000" w:sz="4" w:space="0"/>
              <w:bottom w:val="single" w:color="000000" w:sz="4" w:space="0"/>
              <w:right w:val="single" w:color="000000" w:sz="4" w:space="0"/>
            </w:tcBorders>
            <w:vAlign w:val="center"/>
          </w:tcPr>
          <w:p>
            <w:pPr>
              <w:tabs>
                <w:tab w:val="left" w:pos="3375"/>
              </w:tabs>
              <w:snapToGrid w:val="0"/>
              <w:jc w:val="center"/>
              <w:rPr>
                <w:rStyle w:val="22"/>
                <w:rFonts w:ascii="宋体" w:hAnsi="宋体"/>
                <w:szCs w:val="21"/>
              </w:rPr>
            </w:pPr>
            <w:r>
              <w:rPr>
                <w:rStyle w:val="22"/>
                <w:rFonts w:ascii="宋体" w:hAnsi="宋体"/>
                <w:szCs w:val="21"/>
              </w:rPr>
              <w:t>见附件</w:t>
            </w:r>
          </w:p>
        </w:tc>
      </w:tr>
    </w:tbl>
    <w:p>
      <w:pPr>
        <w:snapToGrid w:val="0"/>
        <w:rPr>
          <w:rStyle w:val="22"/>
          <w:rFonts w:ascii="宋体" w:hAnsi="宋体"/>
          <w:bCs/>
          <w:szCs w:val="21"/>
        </w:rPr>
      </w:pPr>
    </w:p>
    <w:p>
      <w:pPr>
        <w:snapToGrid w:val="0"/>
        <w:rPr>
          <w:rStyle w:val="22"/>
          <w:rFonts w:ascii="仿宋_GB2312" w:hAnsi="仿宋_GB2312" w:eastAsia="仿宋_GB2312" w:cs="仿宋_GB2312"/>
          <w:sz w:val="32"/>
          <w:szCs w:val="32"/>
        </w:rPr>
      </w:pPr>
      <w:r>
        <w:rPr>
          <w:rStyle w:val="22"/>
          <w:rFonts w:hint="eastAsia" w:ascii="仿宋_GB2312" w:hAnsi="仿宋_GB2312" w:eastAsia="仿宋_GB2312" w:cs="仿宋_GB2312"/>
          <w:bCs/>
          <w:sz w:val="32"/>
          <w:szCs w:val="32"/>
        </w:rPr>
        <w:t>（</w:t>
      </w:r>
      <w:r>
        <w:rPr>
          <w:rStyle w:val="22"/>
          <w:rFonts w:hint="eastAsia" w:ascii="仿宋_GB2312" w:hAnsi="仿宋_GB2312" w:eastAsia="仿宋_GB2312" w:cs="仿宋_GB2312"/>
          <w:sz w:val="32"/>
          <w:szCs w:val="32"/>
          <w:lang w:val="en-GB"/>
        </w:rPr>
        <w:t>1）投标资料目录装订于投标文件内的第1页。</w:t>
      </w:r>
    </w:p>
    <w:p>
      <w:pPr>
        <w:snapToGrid w:val="0"/>
        <w:spacing w:line="440" w:lineRule="atLeast"/>
        <w:rPr>
          <w:rStyle w:val="22"/>
          <w:rFonts w:ascii="仿宋_GB2312" w:hAnsi="仿宋_GB2312" w:eastAsia="仿宋_GB2312" w:cs="仿宋_GB2312"/>
          <w:sz w:val="32"/>
          <w:szCs w:val="32"/>
        </w:rPr>
      </w:pPr>
      <w:r>
        <w:rPr>
          <w:rStyle w:val="22"/>
          <w:rFonts w:hint="eastAsia" w:ascii="仿宋_GB2312" w:hAnsi="仿宋_GB2312" w:eastAsia="仿宋_GB2312" w:cs="仿宋_GB2312"/>
          <w:bCs/>
          <w:sz w:val="32"/>
          <w:szCs w:val="32"/>
        </w:rPr>
        <w:t>（2）</w:t>
      </w:r>
      <w:r>
        <w:rPr>
          <w:rStyle w:val="22"/>
          <w:rFonts w:hint="eastAsia" w:ascii="仿宋_GB2312" w:hAnsi="仿宋_GB2312" w:eastAsia="仿宋_GB2312" w:cs="仿宋_GB2312"/>
          <w:sz w:val="32"/>
          <w:szCs w:val="32"/>
        </w:rPr>
        <w:t>《授权书》及相关《</w:t>
      </w:r>
      <w:r>
        <w:rPr>
          <w:rStyle w:val="22"/>
          <w:rFonts w:hint="eastAsia" w:ascii="仿宋_GB2312" w:hAnsi="仿宋_GB2312" w:eastAsia="仿宋_GB2312" w:cs="仿宋_GB2312"/>
          <w:sz w:val="32"/>
          <w:szCs w:val="32"/>
          <w:lang w:val="en-GB"/>
        </w:rPr>
        <w:t>承诺函》、《</w:t>
      </w:r>
      <w:r>
        <w:rPr>
          <w:rStyle w:val="22"/>
          <w:rFonts w:hint="eastAsia" w:ascii="仿宋_GB2312" w:hAnsi="仿宋_GB2312" w:eastAsia="仿宋_GB2312" w:cs="仿宋_GB2312"/>
          <w:sz w:val="32"/>
          <w:szCs w:val="32"/>
        </w:rPr>
        <w:t>报价单</w:t>
      </w:r>
      <w:r>
        <w:rPr>
          <w:rStyle w:val="22"/>
          <w:rFonts w:hint="eastAsia" w:ascii="仿宋_GB2312" w:hAnsi="仿宋_GB2312" w:eastAsia="仿宋_GB2312" w:cs="仿宋_GB2312"/>
          <w:sz w:val="32"/>
          <w:szCs w:val="32"/>
          <w:lang w:val="en-GB"/>
        </w:rPr>
        <w:t>》等格</w:t>
      </w:r>
      <w:r>
        <w:rPr>
          <w:rStyle w:val="22"/>
          <w:rFonts w:hint="eastAsia" w:ascii="仿宋_GB2312" w:hAnsi="仿宋_GB2312" w:eastAsia="仿宋_GB2312" w:cs="仿宋_GB2312"/>
          <w:sz w:val="32"/>
          <w:szCs w:val="32"/>
        </w:rPr>
        <w:t>式详见附件。</w:t>
      </w:r>
    </w:p>
    <w:p>
      <w:pPr>
        <w:pStyle w:val="78"/>
        <w:snapToGrid w:val="0"/>
        <w:spacing w:line="300" w:lineRule="auto"/>
        <w:ind w:firstLineChars="0"/>
        <w:jc w:val="center"/>
        <w:rPr>
          <w:rStyle w:val="22"/>
          <w:rFonts w:ascii="黑体" w:hAnsi="黑体" w:eastAsia="仿宋_GB2312"/>
          <w:sz w:val="24"/>
          <w:szCs w:val="24"/>
        </w:rPr>
      </w:pPr>
    </w:p>
    <w:p>
      <w:pPr>
        <w:pStyle w:val="78"/>
        <w:snapToGrid w:val="0"/>
        <w:spacing w:line="300" w:lineRule="auto"/>
        <w:ind w:firstLineChars="0"/>
        <w:jc w:val="center"/>
        <w:rPr>
          <w:rStyle w:val="22"/>
          <w:rFonts w:ascii="黑体" w:hAnsi="黑体" w:eastAsia="仿宋_GB2312"/>
          <w:sz w:val="24"/>
          <w:szCs w:val="24"/>
        </w:rPr>
      </w:pPr>
    </w:p>
    <w:p>
      <w:pPr>
        <w:pStyle w:val="78"/>
        <w:snapToGrid w:val="0"/>
        <w:spacing w:line="300" w:lineRule="auto"/>
        <w:ind w:firstLineChars="0"/>
        <w:jc w:val="center"/>
        <w:rPr>
          <w:rStyle w:val="22"/>
          <w:rFonts w:ascii="黑体" w:hAnsi="黑体" w:eastAsia="仿宋_GB2312"/>
          <w:sz w:val="24"/>
          <w:szCs w:val="24"/>
        </w:rPr>
      </w:pPr>
    </w:p>
    <w:p>
      <w:pPr>
        <w:pStyle w:val="78"/>
        <w:snapToGrid w:val="0"/>
        <w:spacing w:line="300" w:lineRule="auto"/>
        <w:ind w:firstLineChars="0"/>
        <w:jc w:val="center"/>
        <w:rPr>
          <w:rStyle w:val="22"/>
          <w:rFonts w:ascii="黑体" w:hAnsi="黑体" w:eastAsia="仿宋_GB2312"/>
          <w:sz w:val="24"/>
          <w:szCs w:val="24"/>
        </w:rPr>
      </w:pPr>
    </w:p>
    <w:p>
      <w:pPr>
        <w:pStyle w:val="78"/>
        <w:snapToGrid w:val="0"/>
        <w:spacing w:line="300" w:lineRule="auto"/>
        <w:ind w:firstLineChars="0"/>
        <w:jc w:val="center"/>
        <w:rPr>
          <w:rStyle w:val="22"/>
          <w:rFonts w:ascii="方正小标宋_GBK" w:hAnsi="方正小标宋_GBK" w:eastAsia="方正小标宋_GBK" w:cs="方正小标宋_GBK"/>
          <w:bCs/>
          <w:sz w:val="44"/>
          <w:szCs w:val="44"/>
        </w:rPr>
      </w:pPr>
      <w:r>
        <w:rPr>
          <w:rStyle w:val="22"/>
          <w:rFonts w:hint="eastAsia" w:ascii="方正小标宋_GBK" w:hAnsi="方正小标宋_GBK" w:eastAsia="方正小标宋_GBK" w:cs="方正小标宋_GBK"/>
          <w:bCs/>
          <w:sz w:val="44"/>
          <w:szCs w:val="44"/>
        </w:rPr>
        <w:t>关于资格的声明函</w:t>
      </w:r>
    </w:p>
    <w:p>
      <w:pPr>
        <w:snapToGrid w:val="0"/>
        <w:spacing w:line="520" w:lineRule="exact"/>
        <w:rPr>
          <w:rStyle w:val="22"/>
          <w:rFonts w:ascii="仿宋_GB2312" w:hAnsi="仿宋_GB2312" w:eastAsia="仿宋_GB2312" w:cs="仿宋_GB2312"/>
          <w:b/>
          <w:sz w:val="32"/>
          <w:szCs w:val="32"/>
        </w:rPr>
      </w:pPr>
      <w:r>
        <w:rPr>
          <w:rStyle w:val="22"/>
          <w:rFonts w:hint="eastAsia" w:ascii="仿宋_GB2312" w:hAnsi="仿宋_GB2312" w:eastAsia="仿宋_GB2312" w:cs="仿宋_GB2312"/>
          <w:sz w:val="32"/>
          <w:szCs w:val="32"/>
          <w:u w:val="single" w:color="000000"/>
        </w:rPr>
        <w:t>南通市创聚商贸有限公司：</w:t>
      </w:r>
    </w:p>
    <w:p>
      <w:pPr>
        <w:pStyle w:val="41"/>
        <w:snapToGrid w:val="0"/>
        <w:spacing w:before="312" w:after="312" w:line="300" w:lineRule="auto"/>
        <w:ind w:firstLine="628"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我公司认真对照招标公告，符合贵方提出的资格要求，自愿报名参加投标，并保证提供的资料文件是准确的和真实的。提供虚假材料的愿意承担相应的法律责任。</w:t>
      </w:r>
    </w:p>
    <w:p>
      <w:pPr>
        <w:pStyle w:val="41"/>
        <w:snapToGrid w:val="0"/>
        <w:spacing w:before="0" w:after="0" w:line="300" w:lineRule="auto"/>
        <w:ind w:firstLine="314" w:firstLineChars="100"/>
        <w:rPr>
          <w:rStyle w:val="22"/>
          <w:rFonts w:ascii="仿宋_GB2312" w:hAnsi="仿宋_GB2312" w:eastAsia="仿宋_GB2312" w:cs="仿宋_GB2312"/>
          <w:sz w:val="32"/>
          <w:szCs w:val="32"/>
        </w:rPr>
      </w:pPr>
      <w:r>
        <w:rPr>
          <w:rStyle w:val="22"/>
          <w:rFonts w:hint="eastAsia" w:ascii="仿宋_GB2312" w:hAnsi="仿宋_GB2312" w:eastAsia="仿宋_GB2312" w:cs="仿宋_GB2312"/>
          <w:kern w:val="2"/>
          <w:sz w:val="32"/>
          <w:szCs w:val="32"/>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11"/>
        <w:tblW w:w="84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2977"/>
        <w:gridCol w:w="2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0" w:after="0" w:line="300" w:lineRule="auto"/>
              <w:jc w:val="center"/>
              <w:rPr>
                <w:rStyle w:val="22"/>
                <w:rFonts w:ascii="仿宋_GB2312" w:hAnsi="宋体" w:eastAsia="仿宋_GB2312"/>
                <w:b/>
                <w:kern w:val="2"/>
                <w:sz w:val="28"/>
                <w:szCs w:val="28"/>
              </w:rPr>
            </w:pPr>
            <w:r>
              <w:rPr>
                <w:rStyle w:val="22"/>
                <w:rFonts w:ascii="仿宋_GB2312" w:hAnsi="宋体" w:eastAsia="仿宋_GB2312"/>
                <w:b/>
                <w:kern w:val="2"/>
                <w:sz w:val="28"/>
                <w:szCs w:val="28"/>
              </w:rPr>
              <w:t>时 间</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0" w:after="312" w:line="300" w:lineRule="auto"/>
              <w:jc w:val="center"/>
              <w:rPr>
                <w:rStyle w:val="22"/>
                <w:rFonts w:ascii="仿宋_GB2312" w:hAnsi="宋体" w:eastAsia="仿宋_GB2312"/>
                <w:b/>
                <w:kern w:val="2"/>
                <w:sz w:val="28"/>
                <w:szCs w:val="28"/>
              </w:rPr>
            </w:pPr>
            <w:r>
              <w:rPr>
                <w:rStyle w:val="22"/>
                <w:rFonts w:ascii="仿宋_GB2312" w:hAnsi="宋体" w:eastAsia="仿宋_GB2312"/>
                <w:b/>
                <w:kern w:val="2"/>
                <w:sz w:val="28"/>
                <w:szCs w:val="28"/>
              </w:rPr>
              <w:t>受处理的原因</w:t>
            </w:r>
          </w:p>
          <w:p>
            <w:pPr>
              <w:pStyle w:val="41"/>
              <w:snapToGrid w:val="0"/>
              <w:spacing w:before="312" w:after="0" w:line="300" w:lineRule="auto"/>
              <w:jc w:val="center"/>
              <w:rPr>
                <w:rStyle w:val="22"/>
                <w:rFonts w:ascii="仿宋_GB2312" w:hAnsi="宋体" w:eastAsia="仿宋_GB2312"/>
                <w:kern w:val="2"/>
                <w:sz w:val="28"/>
                <w:szCs w:val="28"/>
              </w:rPr>
            </w:pPr>
            <w:r>
              <w:rPr>
                <w:rStyle w:val="22"/>
                <w:rFonts w:ascii="仿宋_GB2312" w:hAnsi="宋体" w:eastAsia="仿宋_GB2312"/>
                <w:kern w:val="2"/>
                <w:sz w:val="28"/>
                <w:szCs w:val="28"/>
              </w:rPr>
              <w:t>（如在政府采购活动中受处理的，注明采购项目名称及处理原因）</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0" w:after="312" w:line="300" w:lineRule="auto"/>
              <w:jc w:val="center"/>
              <w:rPr>
                <w:rStyle w:val="22"/>
                <w:rFonts w:ascii="仿宋_GB2312" w:hAnsi="宋体" w:eastAsia="仿宋_GB2312"/>
                <w:b/>
                <w:kern w:val="2"/>
                <w:sz w:val="28"/>
                <w:szCs w:val="28"/>
              </w:rPr>
            </w:pPr>
            <w:r>
              <w:rPr>
                <w:rStyle w:val="22"/>
                <w:rFonts w:ascii="仿宋_GB2312" w:hAnsi="宋体" w:eastAsia="仿宋_GB2312"/>
                <w:b/>
                <w:kern w:val="2"/>
                <w:sz w:val="28"/>
                <w:szCs w:val="28"/>
              </w:rPr>
              <w:t>处理的内容</w:t>
            </w:r>
          </w:p>
          <w:p>
            <w:pPr>
              <w:pStyle w:val="41"/>
              <w:snapToGrid w:val="0"/>
              <w:spacing w:before="312" w:after="0" w:line="300" w:lineRule="auto"/>
              <w:jc w:val="center"/>
              <w:rPr>
                <w:rStyle w:val="22"/>
                <w:rFonts w:ascii="仿宋_GB2312" w:hAnsi="宋体" w:eastAsia="仿宋_GB2312"/>
                <w:kern w:val="2"/>
                <w:sz w:val="28"/>
                <w:szCs w:val="28"/>
              </w:rPr>
            </w:pPr>
            <w:r>
              <w:rPr>
                <w:rStyle w:val="22"/>
                <w:rFonts w:ascii="仿宋_GB2312" w:hAnsi="宋体" w:eastAsia="仿宋_GB2312"/>
                <w:kern w:val="2"/>
                <w:sz w:val="28"/>
                <w:szCs w:val="28"/>
              </w:rPr>
              <w:t>（如受到禁止一段时期参加某种项目的政府采购活动的，要说明解禁时间）</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before="0" w:after="0" w:line="300" w:lineRule="auto"/>
              <w:jc w:val="center"/>
              <w:rPr>
                <w:rStyle w:val="22"/>
                <w:rFonts w:ascii="仿宋_GB2312" w:hAnsi="宋体" w:eastAsia="仿宋_GB2312"/>
                <w:b/>
                <w:kern w:val="2"/>
                <w:sz w:val="28"/>
                <w:szCs w:val="28"/>
              </w:rPr>
            </w:pPr>
            <w:r>
              <w:rPr>
                <w:rStyle w:val="22"/>
                <w:rFonts w:ascii="仿宋_GB2312" w:hAnsi="宋体" w:eastAsia="仿宋_GB2312"/>
                <w:b/>
                <w:kern w:val="2"/>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9" w:hRule="atLeast"/>
          <w:jc w:val="center"/>
        </w:trPr>
        <w:tc>
          <w:tcPr>
            <w:tcW w:w="1242" w:type="dxa"/>
            <w:tcBorders>
              <w:top w:val="single" w:color="000000" w:sz="4" w:space="0"/>
              <w:left w:val="single" w:color="000000" w:sz="4" w:space="0"/>
              <w:bottom w:val="single" w:color="000000" w:sz="4" w:space="0"/>
              <w:right w:val="single" w:color="000000" w:sz="4" w:space="0"/>
            </w:tcBorders>
          </w:tcPr>
          <w:p>
            <w:pPr>
              <w:pStyle w:val="41"/>
              <w:snapToGrid w:val="0"/>
              <w:spacing w:before="0" w:after="0" w:line="300" w:lineRule="auto"/>
              <w:rPr>
                <w:rStyle w:val="22"/>
                <w:rFonts w:ascii="仿宋_GB2312" w:hAnsi="宋体" w:eastAsia="仿宋_GB2312"/>
                <w:kern w:val="2"/>
                <w:sz w:val="28"/>
                <w:szCs w:val="28"/>
              </w:rPr>
            </w:pPr>
          </w:p>
        </w:tc>
        <w:tc>
          <w:tcPr>
            <w:tcW w:w="2977" w:type="dxa"/>
            <w:tcBorders>
              <w:top w:val="single" w:color="000000" w:sz="4" w:space="0"/>
              <w:left w:val="single" w:color="000000" w:sz="4" w:space="0"/>
              <w:bottom w:val="single" w:color="000000" w:sz="4" w:space="0"/>
              <w:right w:val="single" w:color="000000" w:sz="4" w:space="0"/>
            </w:tcBorders>
          </w:tcPr>
          <w:p>
            <w:pPr>
              <w:pStyle w:val="41"/>
              <w:snapToGrid w:val="0"/>
              <w:spacing w:before="0" w:after="0" w:line="300" w:lineRule="auto"/>
              <w:rPr>
                <w:rStyle w:val="22"/>
                <w:rFonts w:ascii="仿宋_GB2312" w:hAnsi="宋体" w:eastAsia="仿宋_GB2312"/>
                <w:kern w:val="2"/>
                <w:sz w:val="28"/>
                <w:szCs w:val="28"/>
              </w:rPr>
            </w:pPr>
          </w:p>
        </w:tc>
        <w:tc>
          <w:tcPr>
            <w:tcW w:w="2977" w:type="dxa"/>
            <w:tcBorders>
              <w:top w:val="single" w:color="000000" w:sz="4" w:space="0"/>
              <w:left w:val="single" w:color="000000" w:sz="4" w:space="0"/>
              <w:bottom w:val="single" w:color="000000" w:sz="4" w:space="0"/>
              <w:right w:val="single" w:color="000000" w:sz="4" w:space="0"/>
            </w:tcBorders>
          </w:tcPr>
          <w:p>
            <w:pPr>
              <w:pStyle w:val="41"/>
              <w:snapToGrid w:val="0"/>
              <w:spacing w:before="0" w:after="0" w:line="300" w:lineRule="auto"/>
              <w:rPr>
                <w:rStyle w:val="22"/>
                <w:rFonts w:ascii="仿宋_GB2312" w:hAnsi="宋体" w:eastAsia="仿宋_GB2312"/>
                <w:kern w:val="2"/>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pStyle w:val="41"/>
              <w:snapToGrid w:val="0"/>
              <w:spacing w:before="0" w:after="0" w:line="300" w:lineRule="auto"/>
              <w:rPr>
                <w:rStyle w:val="22"/>
                <w:rFonts w:ascii="仿宋_GB2312" w:hAnsi="宋体" w:eastAsia="仿宋_GB2312"/>
                <w:kern w:val="2"/>
                <w:sz w:val="28"/>
                <w:szCs w:val="28"/>
              </w:rPr>
            </w:pPr>
          </w:p>
        </w:tc>
      </w:tr>
    </w:tbl>
    <w:p>
      <w:pPr>
        <w:snapToGrid w:val="0"/>
        <w:rPr>
          <w:rStyle w:val="22"/>
        </w:rPr>
      </w:pPr>
    </w:p>
    <w:p>
      <w:pPr>
        <w:pStyle w:val="20"/>
        <w:snapToGrid w:val="0"/>
        <w:rPr>
          <w:rStyle w:val="22"/>
          <w:rFonts w:ascii="黑体" w:hAnsi="黑体" w:eastAsia="黑体"/>
          <w:sz w:val="30"/>
          <w:szCs w:val="30"/>
          <w:lang w:val="en-GB"/>
        </w:rPr>
      </w:pPr>
      <w:r>
        <w:rPr>
          <w:rStyle w:val="22"/>
          <w:rFonts w:ascii="黑体" w:hAnsi="黑体" w:eastAsia="黑体"/>
          <w:sz w:val="30"/>
          <w:szCs w:val="30"/>
          <w:lang w:val="en-GB"/>
        </w:rPr>
        <w:br w:type="page"/>
      </w:r>
    </w:p>
    <w:p>
      <w:pPr>
        <w:pStyle w:val="20"/>
        <w:snapToGrid w:val="0"/>
        <w:rPr>
          <w:rStyle w:val="22"/>
          <w:rFonts w:ascii="方正小标宋_GBK" w:hAnsi="方正小标宋_GBK" w:eastAsia="方正小标宋_GBK" w:cs="方正小标宋_GBK"/>
          <w:b w:val="0"/>
          <w:sz w:val="44"/>
          <w:szCs w:val="44"/>
        </w:rPr>
      </w:pPr>
      <w:r>
        <w:rPr>
          <w:rStyle w:val="22"/>
          <w:rFonts w:hint="eastAsia" w:ascii="方正小标宋_GBK" w:hAnsi="方正小标宋_GBK" w:eastAsia="方正小标宋_GBK" w:cs="方正小标宋_GBK"/>
          <w:b w:val="0"/>
          <w:sz w:val="44"/>
          <w:szCs w:val="44"/>
        </w:rPr>
        <w:t>法定代表人身份证明</w:t>
      </w:r>
    </w:p>
    <w:p>
      <w:pPr>
        <w:snapToGrid w:val="0"/>
        <w:spacing w:line="480" w:lineRule="exact"/>
        <w:rPr>
          <w:rStyle w:val="22"/>
          <w:rFonts w:ascii="宋体" w:hAnsi="宋体"/>
          <w:sz w:val="24"/>
        </w:rPr>
      </w:pPr>
    </w:p>
    <w:p>
      <w:pPr>
        <w:snapToGrid w:val="0"/>
        <w:spacing w:line="480" w:lineRule="exact"/>
        <w:ind w:firstLine="628"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先生/女士： 现任我单位职务，为法定代表人，特此证明。</w:t>
      </w:r>
    </w:p>
    <w:p>
      <w:pPr>
        <w:snapToGrid w:val="0"/>
        <w:spacing w:line="480" w:lineRule="exact"/>
        <w:ind w:firstLine="480"/>
        <w:rPr>
          <w:rStyle w:val="22"/>
          <w:rFonts w:ascii="仿宋_GB2312" w:hAnsi="仿宋_GB2312" w:eastAsia="仿宋_GB2312" w:cs="仿宋_GB2312"/>
          <w:sz w:val="32"/>
          <w:szCs w:val="32"/>
          <w:u w:val="single"/>
        </w:rPr>
      </w:pPr>
      <w:r>
        <w:rPr>
          <w:rStyle w:val="22"/>
          <w:rFonts w:hint="eastAsia" w:ascii="仿宋_GB2312" w:hAnsi="仿宋_GB2312" w:eastAsia="仿宋_GB2312" w:cs="仿宋_GB2312"/>
          <w:sz w:val="32"/>
          <w:szCs w:val="32"/>
        </w:rPr>
        <w:t>身份证号码：</w:t>
      </w:r>
    </w:p>
    <w:p>
      <w:pPr>
        <w:snapToGrid w:val="0"/>
        <w:spacing w:line="480" w:lineRule="exact"/>
        <w:ind w:firstLine="480"/>
        <w:rPr>
          <w:rStyle w:val="22"/>
          <w:rFonts w:ascii="仿宋_GB2312" w:hAnsi="仿宋_GB2312" w:eastAsia="仿宋_GB2312" w:cs="仿宋_GB2312"/>
          <w:sz w:val="32"/>
          <w:szCs w:val="32"/>
        </w:rPr>
      </w:pPr>
    </w:p>
    <w:p>
      <w:pPr>
        <w:pStyle w:val="18"/>
        <w:rPr>
          <w:rFonts w:ascii="仿宋_GB2312" w:hAnsi="仿宋_GB2312" w:eastAsia="仿宋_GB2312" w:cs="仿宋_GB2312"/>
          <w:sz w:val="32"/>
          <w:szCs w:val="32"/>
        </w:rPr>
      </w:pPr>
    </w:p>
    <w:p>
      <w:pPr>
        <w:pStyle w:val="18"/>
        <w:rPr>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注：提供法定代表人的身份证复印件盖公章</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20"/>
        <w:snapToGrid w:val="0"/>
        <w:rPr>
          <w:rStyle w:val="22"/>
          <w:rFonts w:ascii="方正小标宋_GBK" w:hAnsi="方正小标宋_GBK" w:eastAsia="方正小标宋_GBK" w:cs="方正小标宋_GBK"/>
          <w:b w:val="0"/>
          <w:bCs/>
          <w:sz w:val="44"/>
          <w:szCs w:val="44"/>
          <w:lang w:val="en-GB"/>
        </w:rPr>
      </w:pPr>
      <w:r>
        <w:rPr>
          <w:rStyle w:val="22"/>
          <w:rFonts w:hint="eastAsia" w:ascii="方正小标宋_GBK" w:hAnsi="方正小标宋_GBK" w:eastAsia="方正小标宋_GBK" w:cs="方正小标宋_GBK"/>
          <w:b w:val="0"/>
          <w:bCs/>
          <w:sz w:val="44"/>
          <w:szCs w:val="44"/>
          <w:lang w:val="en-GB"/>
        </w:rPr>
        <w:t>法定代表人授权书</w:t>
      </w:r>
    </w:p>
    <w:p>
      <w:pPr>
        <w:snapToGrid w:val="0"/>
        <w:spacing w:line="520" w:lineRule="exact"/>
        <w:rPr>
          <w:rStyle w:val="22"/>
          <w:rFonts w:ascii="仿宋_GB2312" w:hAnsi="仿宋_GB2312" w:eastAsia="仿宋_GB2312" w:cs="仿宋_GB2312"/>
          <w:sz w:val="32"/>
          <w:szCs w:val="32"/>
          <w:u w:val="single" w:color="000000"/>
        </w:rPr>
      </w:pPr>
    </w:p>
    <w:p>
      <w:pPr>
        <w:snapToGrid w:val="0"/>
        <w:spacing w:line="520" w:lineRule="exact"/>
        <w:rPr>
          <w:rStyle w:val="22"/>
          <w:rFonts w:ascii="仿宋_GB2312" w:hAnsi="仿宋_GB2312" w:eastAsia="仿宋_GB2312" w:cs="仿宋_GB2312"/>
          <w:sz w:val="32"/>
          <w:szCs w:val="32"/>
          <w:u w:val="single"/>
        </w:rPr>
      </w:pPr>
      <w:r>
        <w:rPr>
          <w:rStyle w:val="22"/>
          <w:rFonts w:hint="eastAsia" w:ascii="仿宋_GB2312" w:hAnsi="仿宋_GB2312" w:eastAsia="仿宋_GB2312" w:cs="仿宋_GB2312"/>
          <w:sz w:val="32"/>
          <w:szCs w:val="32"/>
          <w:u w:val="single" w:color="000000"/>
        </w:rPr>
        <w:t>南通市创聚商贸有限公司：</w:t>
      </w:r>
    </w:p>
    <w:p>
      <w:pPr>
        <w:snapToGrid w:val="0"/>
        <w:spacing w:line="520" w:lineRule="exact"/>
        <w:ind w:firstLine="628"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兹授权</w:t>
      </w:r>
      <w:r>
        <w:rPr>
          <w:rStyle w:val="22"/>
          <w:rFonts w:hint="eastAsia" w:ascii="仿宋_GB2312" w:hAnsi="仿宋_GB2312" w:eastAsia="仿宋_GB2312" w:cs="仿宋_GB2312"/>
          <w:sz w:val="32"/>
          <w:szCs w:val="32"/>
          <w:u w:val="single" w:color="000000"/>
        </w:rPr>
        <w:t xml:space="preserve">                            （</w:t>
      </w:r>
      <w:r>
        <w:rPr>
          <w:rStyle w:val="22"/>
          <w:rFonts w:hint="eastAsia" w:ascii="仿宋_GB2312" w:hAnsi="仿宋_GB2312" w:eastAsia="仿宋_GB2312" w:cs="仿宋_GB2312"/>
          <w:sz w:val="32"/>
          <w:szCs w:val="32"/>
        </w:rPr>
        <w:t>被授权人的姓名、职务）代表我公司参加（采购项目名称)项目的招标采购活动，全权处理一切与该项目招标有关的事务。其在办理上述事宜过程中所签署的所有文件我公司均予以承认，我公司对被授权人签名的所有文件负全部责任。</w:t>
      </w:r>
    </w:p>
    <w:p>
      <w:pPr>
        <w:snapToGrid w:val="0"/>
        <w:spacing w:line="520" w:lineRule="exac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附：授权代表情况：</w:t>
      </w:r>
    </w:p>
    <w:p>
      <w:pPr>
        <w:snapToGrid w:val="0"/>
        <w:spacing w:line="520" w:lineRule="exact"/>
        <w:rPr>
          <w:rStyle w:val="22"/>
          <w:rFonts w:ascii="仿宋_GB2312" w:hAnsi="仿宋_GB2312" w:eastAsia="仿宋_GB2312" w:cs="仿宋_GB2312"/>
          <w:sz w:val="32"/>
          <w:szCs w:val="32"/>
          <w:u w:val="single"/>
        </w:rPr>
      </w:pPr>
      <w:r>
        <w:rPr>
          <w:rStyle w:val="22"/>
          <w:rFonts w:hint="eastAsia" w:ascii="仿宋_GB2312" w:hAnsi="仿宋_GB2312" w:eastAsia="仿宋_GB2312" w:cs="仿宋_GB2312"/>
          <w:sz w:val="32"/>
          <w:szCs w:val="32"/>
        </w:rPr>
        <w:t>姓名： 性别：年龄：职务：联系电话：手机：</w:t>
      </w:r>
    </w:p>
    <w:p>
      <w:pPr>
        <w:snapToGrid w:val="0"/>
        <w:spacing w:line="520" w:lineRule="exact"/>
        <w:rPr>
          <w:rStyle w:val="22"/>
          <w:rFonts w:ascii="仿宋_GB2312" w:hAnsi="仿宋_GB2312" w:eastAsia="仿宋_GB2312" w:cs="仿宋_GB2312"/>
          <w:sz w:val="32"/>
          <w:szCs w:val="32"/>
          <w:u w:val="single"/>
        </w:rPr>
      </w:pPr>
      <w:r>
        <w:rPr>
          <w:rStyle w:val="22"/>
          <w:rFonts w:hint="eastAsia" w:ascii="仿宋_GB2312" w:hAnsi="仿宋_GB2312" w:eastAsia="仿宋_GB2312" w:cs="仿宋_GB2312"/>
          <w:sz w:val="32"/>
          <w:szCs w:val="32"/>
        </w:rPr>
        <w:t>身份证号码：</w:t>
      </w:r>
    </w:p>
    <w:p>
      <w:pPr>
        <w:snapToGrid w:val="0"/>
        <w:spacing w:line="520" w:lineRule="exac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详细通讯地址：邮政编码： 传真：</w:t>
      </w:r>
    </w:p>
    <w:p>
      <w:pPr>
        <w:snapToGrid w:val="0"/>
        <w:spacing w:line="520" w:lineRule="exact"/>
        <w:rPr>
          <w:rStyle w:val="22"/>
          <w:rFonts w:ascii="仿宋_GB2312" w:hAnsi="仿宋_GB2312" w:eastAsia="仿宋_GB2312" w:cs="仿宋_GB2312"/>
          <w:sz w:val="32"/>
          <w:szCs w:val="32"/>
        </w:rPr>
      </w:pPr>
    </w:p>
    <w:p>
      <w:pPr>
        <w:snapToGrid w:val="0"/>
        <w:spacing w:line="520" w:lineRule="exac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单位名称（公章）             </w:t>
      </w:r>
      <w:r>
        <w:rPr>
          <w:rStyle w:val="22"/>
          <w:rFonts w:hint="eastAsia" w:ascii="仿宋_GB2312" w:hAnsi="仿宋_GB2312" w:eastAsia="仿宋_GB2312" w:cs="仿宋_GB2312"/>
          <w:bCs/>
          <w:sz w:val="32"/>
          <w:szCs w:val="32"/>
        </w:rPr>
        <w:t>法定代表人（签字）</w:t>
      </w:r>
    </w:p>
    <w:p>
      <w:pPr>
        <w:snapToGrid w:val="0"/>
        <w:spacing w:line="520" w:lineRule="exact"/>
        <w:ind w:firstLine="1570" w:firstLineChars="5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                           年   月    日  </w:t>
      </w:r>
    </w:p>
    <w:p>
      <w:pPr>
        <w:snapToGrid w:val="0"/>
        <w:spacing w:line="520" w:lineRule="exact"/>
        <w:rPr>
          <w:rStyle w:val="22"/>
          <w:rFonts w:ascii="仿宋_GB2312" w:hAnsi="仿宋_GB2312" w:eastAsia="仿宋_GB2312" w:cs="仿宋_GB2312"/>
          <w:sz w:val="32"/>
          <w:szCs w:val="32"/>
        </w:rPr>
      </w:pPr>
    </w:p>
    <w:p>
      <w:pPr>
        <w:snapToGrid w:val="0"/>
        <w:spacing w:line="520" w:lineRule="exac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法定代表人身份证复印件</w:t>
      </w:r>
    </w:p>
    <w:p>
      <w:pPr>
        <w:snapToGrid w:val="0"/>
        <w:spacing w:line="520" w:lineRule="exact"/>
        <w:rPr>
          <w:rStyle w:val="22"/>
          <w:rFonts w:ascii="仿宋_GB2312" w:hAnsi="仿宋_GB2312" w:eastAsia="仿宋_GB2312" w:cs="仿宋_GB2312"/>
          <w:sz w:val="32"/>
          <w:szCs w:val="32"/>
        </w:rPr>
      </w:pPr>
    </w:p>
    <w:p>
      <w:pPr>
        <w:snapToGrid w:val="0"/>
        <w:spacing w:line="520" w:lineRule="exact"/>
        <w:ind w:firstLine="628" w:firstLineChars="200"/>
        <w:rPr>
          <w:rStyle w:val="22"/>
          <w:rFonts w:ascii="仿宋_GB2312" w:hAnsi="仿宋_GB2312" w:eastAsia="仿宋_GB2312" w:cs="仿宋_GB2312"/>
          <w:b/>
          <w:bCs/>
          <w:sz w:val="32"/>
          <w:szCs w:val="32"/>
        </w:rPr>
      </w:pPr>
    </w:p>
    <w:p>
      <w:pPr>
        <w:snapToGrid w:val="0"/>
        <w:spacing w:line="520" w:lineRule="exact"/>
        <w:ind w:firstLine="2983" w:firstLineChars="950"/>
        <w:rPr>
          <w:rStyle w:val="22"/>
          <w:rFonts w:ascii="仿宋_GB2312" w:hAnsi="仿宋_GB2312" w:eastAsia="仿宋_GB2312" w:cs="仿宋_GB2312"/>
          <w:b/>
          <w:bCs/>
          <w:sz w:val="32"/>
          <w:szCs w:val="32"/>
        </w:rPr>
      </w:pPr>
      <w:r>
        <w:rPr>
          <w:rStyle w:val="22"/>
          <w:rFonts w:hint="eastAsia" w:ascii="仿宋_GB2312" w:hAnsi="仿宋_GB2312" w:eastAsia="仿宋_GB2312" w:cs="仿宋_GB2312"/>
          <w:sz w:val="32"/>
          <w:szCs w:val="32"/>
        </w:rPr>
        <w:t>（粘贴此处）</w:t>
      </w:r>
    </w:p>
    <w:p>
      <w:pPr>
        <w:snapToGrid w:val="0"/>
        <w:spacing w:line="520" w:lineRule="exact"/>
        <w:rPr>
          <w:rStyle w:val="22"/>
          <w:rFonts w:ascii="宋体" w:hAnsi="宋体"/>
          <w:szCs w:val="21"/>
        </w:rPr>
      </w:pPr>
    </w:p>
    <w:p>
      <w:pPr>
        <w:snapToGrid w:val="0"/>
        <w:spacing w:line="520" w:lineRule="exact"/>
        <w:ind w:firstLine="600"/>
        <w:rPr>
          <w:rStyle w:val="22"/>
          <w:rFonts w:ascii="宋体" w:hAnsi="宋体"/>
          <w:szCs w:val="21"/>
        </w:rPr>
      </w:pPr>
    </w:p>
    <w:p>
      <w:pPr>
        <w:snapToGrid w:val="0"/>
        <w:spacing w:line="520" w:lineRule="exact"/>
        <w:ind w:firstLine="600"/>
        <w:rPr>
          <w:rStyle w:val="22"/>
          <w:rFonts w:ascii="宋体" w:hAnsi="宋体"/>
          <w:szCs w:val="21"/>
        </w:rPr>
      </w:pPr>
    </w:p>
    <w:p>
      <w:pPr>
        <w:pStyle w:val="18"/>
        <w:snapToGrid w:val="0"/>
        <w:spacing w:line="360" w:lineRule="auto"/>
        <w:ind w:firstLine="0"/>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注:参加投标时授权代表须将身份证原件带至开标现场核查。</w:t>
      </w:r>
    </w:p>
    <w:p>
      <w:pPr>
        <w:pStyle w:val="18"/>
        <w:snapToGrid w:val="0"/>
        <w:spacing w:line="360" w:lineRule="auto"/>
        <w:rPr>
          <w:rStyle w:val="22"/>
          <w:rFonts w:ascii="宋体" w:hAnsi="宋体"/>
          <w:b/>
        </w:rPr>
      </w:pPr>
    </w:p>
    <w:p>
      <w:pPr>
        <w:pStyle w:val="20"/>
        <w:snapToGrid w:val="0"/>
        <w:rPr>
          <w:rStyle w:val="22"/>
          <w:rFonts w:ascii="宋体" w:hAnsi="宋体" w:eastAsia="黑体"/>
        </w:rPr>
      </w:pPr>
    </w:p>
    <w:p>
      <w:pPr>
        <w:pStyle w:val="18"/>
      </w:pPr>
    </w:p>
    <w:p>
      <w:pPr>
        <w:pStyle w:val="18"/>
      </w:pPr>
    </w:p>
    <w:p>
      <w:pPr>
        <w:pStyle w:val="18"/>
      </w:pPr>
    </w:p>
    <w:p>
      <w:pPr>
        <w:snapToGrid w:val="0"/>
        <w:jc w:val="center"/>
        <w:rPr>
          <w:rStyle w:val="22"/>
          <w:rFonts w:ascii="方正小标宋_GBK" w:hAnsi="方正小标宋_GBK" w:eastAsia="方正小标宋_GBK" w:cs="方正小标宋_GBK"/>
          <w:sz w:val="44"/>
          <w:szCs w:val="44"/>
        </w:rPr>
      </w:pPr>
      <w:r>
        <w:rPr>
          <w:rStyle w:val="22"/>
          <w:rFonts w:hint="eastAsia" w:ascii="方正小标宋_GBK" w:hAnsi="方正小标宋_GBK" w:eastAsia="方正小标宋_GBK" w:cs="方正小标宋_GBK"/>
          <w:sz w:val="44"/>
          <w:szCs w:val="44"/>
        </w:rPr>
        <w:t>履行合同所必需的设备和专业技术能力</w:t>
      </w:r>
    </w:p>
    <w:p>
      <w:pPr>
        <w:snapToGrid w:val="0"/>
        <w:jc w:val="center"/>
        <w:rPr>
          <w:rStyle w:val="22"/>
          <w:rFonts w:ascii="方正小标宋_GBK" w:hAnsi="方正小标宋_GBK" w:eastAsia="方正小标宋_GBK" w:cs="方正小标宋_GBK"/>
          <w:sz w:val="44"/>
          <w:szCs w:val="44"/>
        </w:rPr>
      </w:pPr>
      <w:r>
        <w:rPr>
          <w:rStyle w:val="22"/>
          <w:rFonts w:hint="eastAsia" w:ascii="方正小标宋_GBK" w:hAnsi="方正小标宋_GBK" w:eastAsia="方正小标宋_GBK" w:cs="方正小标宋_GBK"/>
          <w:sz w:val="44"/>
          <w:szCs w:val="44"/>
        </w:rPr>
        <w:t>承诺函</w:t>
      </w:r>
    </w:p>
    <w:p>
      <w:pPr>
        <w:snapToGrid w:val="0"/>
        <w:jc w:val="center"/>
        <w:rPr>
          <w:rStyle w:val="22"/>
          <w:rFonts w:ascii="宋体" w:hAnsi="宋体" w:cs="宋体"/>
          <w:b/>
          <w:bCs/>
          <w:sz w:val="36"/>
          <w:szCs w:val="36"/>
        </w:rPr>
      </w:pPr>
    </w:p>
    <w:p>
      <w:pPr>
        <w:snapToGrid w:val="0"/>
        <w:spacing w:line="560" w:lineRule="exact"/>
        <w:rPr>
          <w:rStyle w:val="22"/>
          <w:rFonts w:ascii="仿宋_GB2312" w:hAnsi="仿宋_GB2312" w:eastAsia="仿宋_GB2312" w:cs="仿宋_GB2312"/>
          <w:sz w:val="32"/>
          <w:szCs w:val="32"/>
          <w:u w:val="single"/>
        </w:rPr>
      </w:pPr>
      <w:r>
        <w:rPr>
          <w:rStyle w:val="22"/>
          <w:rFonts w:hint="eastAsia" w:ascii="仿宋_GB2312" w:hAnsi="仿宋_GB2312" w:eastAsia="仿宋_GB2312" w:cs="仿宋_GB2312"/>
          <w:sz w:val="32"/>
          <w:szCs w:val="32"/>
          <w:u w:val="single" w:color="000000"/>
        </w:rPr>
        <w:t>南通市创聚商贸有限公司：</w:t>
      </w:r>
    </w:p>
    <w:p>
      <w:pPr>
        <w:snapToGrid w:val="0"/>
        <w:spacing w:line="560" w:lineRule="exact"/>
        <w:ind w:firstLine="56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我单位（供应商名称）郑重承诺：</w:t>
      </w:r>
    </w:p>
    <w:p>
      <w:pPr>
        <w:snapToGrid w:val="0"/>
        <w:spacing w:line="560" w:lineRule="exact"/>
        <w:ind w:firstLine="56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贵方组织的(项目名称），(项目编号），我单位(在下划线上如实填写：有或没有）履行合同所必需的设备和专业技术能力。</w:t>
      </w:r>
    </w:p>
    <w:p>
      <w:pPr>
        <w:snapToGrid w:val="0"/>
        <w:spacing w:line="560" w:lineRule="exact"/>
        <w:ind w:firstLine="560"/>
        <w:jc w:val="left"/>
        <w:rPr>
          <w:rStyle w:val="22"/>
          <w:rFonts w:ascii="仿宋_GB2312" w:hAnsi="仿宋_GB2312" w:eastAsia="仿宋_GB2312" w:cs="仿宋_GB2312"/>
          <w:sz w:val="32"/>
          <w:szCs w:val="32"/>
        </w:rPr>
      </w:pPr>
    </w:p>
    <w:p>
      <w:pPr>
        <w:snapToGrid w:val="0"/>
        <w:spacing w:line="560" w:lineRule="exact"/>
        <w:ind w:firstLine="560"/>
        <w:jc w:val="left"/>
        <w:rPr>
          <w:rStyle w:val="22"/>
          <w:rFonts w:ascii="仿宋_GB2312" w:hAnsi="仿宋_GB2312" w:eastAsia="仿宋_GB2312" w:cs="仿宋_GB2312"/>
          <w:sz w:val="32"/>
          <w:szCs w:val="32"/>
        </w:rPr>
      </w:pPr>
    </w:p>
    <w:p>
      <w:pPr>
        <w:snapToGrid w:val="0"/>
        <w:spacing w:line="560" w:lineRule="exact"/>
        <w:ind w:firstLine="560"/>
        <w:jc w:val="left"/>
        <w:rPr>
          <w:rStyle w:val="22"/>
          <w:rFonts w:ascii="仿宋_GB2312" w:hAnsi="仿宋_GB2312" w:eastAsia="仿宋_GB2312" w:cs="仿宋_GB2312"/>
          <w:sz w:val="32"/>
          <w:szCs w:val="32"/>
        </w:rPr>
      </w:pPr>
    </w:p>
    <w:p>
      <w:pPr>
        <w:snapToGrid w:val="0"/>
        <w:spacing w:line="560" w:lineRule="exact"/>
        <w:ind w:firstLine="56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 承诺人：（公章）</w:t>
      </w:r>
    </w:p>
    <w:p>
      <w:pPr>
        <w:snapToGrid w:val="0"/>
        <w:spacing w:line="560" w:lineRule="exact"/>
        <w:ind w:firstLine="56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 年    月   日</w:t>
      </w:r>
    </w:p>
    <w:p>
      <w:pPr>
        <w:snapToGrid w:val="0"/>
        <w:jc w:val="center"/>
        <w:rPr>
          <w:rStyle w:val="22"/>
          <w:rFonts w:ascii="宋体" w:hAnsi="宋体" w:cs="宋体"/>
          <w:b/>
          <w:bCs/>
          <w:sz w:val="36"/>
          <w:szCs w:val="36"/>
        </w:rPr>
      </w:pPr>
    </w:p>
    <w:p>
      <w:pPr>
        <w:snapToGrid w:val="0"/>
        <w:spacing w:line="360" w:lineRule="auto"/>
        <w:jc w:val="center"/>
        <w:rPr>
          <w:rStyle w:val="22"/>
          <w:rFonts w:ascii="宋体" w:hAnsi="宋体"/>
          <w:b/>
          <w:sz w:val="32"/>
          <w:szCs w:val="32"/>
          <w:u w:val="single"/>
        </w:rPr>
      </w:pPr>
    </w:p>
    <w:p>
      <w:pPr>
        <w:snapToGrid w:val="0"/>
        <w:spacing w:line="360" w:lineRule="auto"/>
        <w:jc w:val="center"/>
        <w:rPr>
          <w:rStyle w:val="22"/>
          <w:rFonts w:ascii="宋体" w:hAnsi="宋体"/>
          <w:b/>
          <w:sz w:val="32"/>
          <w:szCs w:val="32"/>
          <w:u w:val="single"/>
        </w:rPr>
      </w:pPr>
    </w:p>
    <w:p>
      <w:pPr>
        <w:snapToGrid w:val="0"/>
        <w:spacing w:line="360" w:lineRule="auto"/>
        <w:jc w:val="center"/>
        <w:rPr>
          <w:rStyle w:val="22"/>
          <w:rFonts w:ascii="宋体" w:hAnsi="宋体"/>
          <w:b/>
          <w:sz w:val="32"/>
          <w:szCs w:val="32"/>
          <w:u w:val="single"/>
        </w:rPr>
      </w:pPr>
    </w:p>
    <w:p>
      <w:pPr>
        <w:snapToGrid w:val="0"/>
        <w:spacing w:line="360" w:lineRule="auto"/>
        <w:jc w:val="center"/>
        <w:rPr>
          <w:rStyle w:val="22"/>
          <w:rFonts w:ascii="宋体" w:hAnsi="宋体"/>
          <w:b/>
          <w:sz w:val="32"/>
          <w:szCs w:val="32"/>
          <w:u w:val="single"/>
        </w:rPr>
      </w:pPr>
    </w:p>
    <w:p>
      <w:pPr>
        <w:pStyle w:val="2"/>
        <w:rPr>
          <w:rStyle w:val="22"/>
          <w:rFonts w:ascii="宋体" w:hAnsi="宋体"/>
          <w:b/>
          <w:sz w:val="32"/>
          <w:szCs w:val="32"/>
          <w:u w:val="single"/>
        </w:rPr>
      </w:pPr>
    </w:p>
    <w:p>
      <w:pPr>
        <w:pStyle w:val="2"/>
        <w:rPr>
          <w:rStyle w:val="22"/>
          <w:rFonts w:ascii="宋体" w:hAnsi="宋体"/>
          <w:b/>
          <w:sz w:val="32"/>
          <w:szCs w:val="32"/>
          <w:u w:val="single"/>
        </w:rPr>
      </w:pPr>
    </w:p>
    <w:p>
      <w:pPr>
        <w:snapToGrid w:val="0"/>
        <w:spacing w:line="360" w:lineRule="auto"/>
        <w:jc w:val="center"/>
        <w:rPr>
          <w:rStyle w:val="22"/>
          <w:rFonts w:ascii="宋体" w:hAnsi="宋体"/>
          <w:b/>
          <w:sz w:val="32"/>
          <w:szCs w:val="32"/>
          <w:u w:val="single"/>
        </w:rPr>
      </w:pPr>
    </w:p>
    <w:p>
      <w:pPr>
        <w:snapToGrid w:val="0"/>
        <w:spacing w:line="360" w:lineRule="auto"/>
        <w:jc w:val="center"/>
        <w:rPr>
          <w:rStyle w:val="22"/>
          <w:rFonts w:ascii="宋体" w:hAnsi="宋体"/>
          <w:b/>
          <w:sz w:val="32"/>
          <w:szCs w:val="32"/>
          <w:u w:val="single"/>
        </w:rPr>
      </w:pPr>
    </w:p>
    <w:p>
      <w:pPr>
        <w:pStyle w:val="41"/>
        <w:snapToGrid w:val="0"/>
        <w:spacing w:before="0" w:after="0"/>
        <w:jc w:val="center"/>
        <w:rPr>
          <w:rStyle w:val="22"/>
          <w:rFonts w:ascii="方正小标宋_GBK" w:hAnsi="方正小标宋_GBK" w:eastAsia="方正小标宋_GBK" w:cs="方正小标宋_GBK"/>
          <w:bCs/>
          <w:color w:val="000000"/>
          <w:kern w:val="2"/>
          <w:sz w:val="44"/>
          <w:szCs w:val="44"/>
        </w:rPr>
      </w:pPr>
      <w:r>
        <w:rPr>
          <w:rStyle w:val="22"/>
          <w:rFonts w:hint="eastAsia" w:ascii="方正小标宋_GBK" w:hAnsi="方正小标宋_GBK" w:eastAsia="方正小标宋_GBK" w:cs="方正小标宋_GBK"/>
          <w:bCs/>
          <w:color w:val="000000"/>
          <w:kern w:val="2"/>
          <w:sz w:val="44"/>
          <w:szCs w:val="44"/>
        </w:rPr>
        <w:t>参加政府采购活动前3年内在经营活动中</w:t>
      </w:r>
    </w:p>
    <w:p>
      <w:pPr>
        <w:pStyle w:val="41"/>
        <w:snapToGrid w:val="0"/>
        <w:spacing w:before="0" w:after="0"/>
        <w:jc w:val="center"/>
        <w:rPr>
          <w:rStyle w:val="22"/>
          <w:rFonts w:ascii="方正小标宋_GBK" w:hAnsi="方正小标宋_GBK" w:eastAsia="方正小标宋_GBK" w:cs="方正小标宋_GBK"/>
          <w:bCs/>
          <w:color w:val="000000"/>
          <w:sz w:val="44"/>
          <w:szCs w:val="44"/>
        </w:rPr>
      </w:pPr>
      <w:r>
        <w:rPr>
          <w:rStyle w:val="22"/>
          <w:rFonts w:hint="eastAsia" w:ascii="方正小标宋_GBK" w:hAnsi="方正小标宋_GBK" w:eastAsia="方正小标宋_GBK" w:cs="方正小标宋_GBK"/>
          <w:bCs/>
          <w:color w:val="000000"/>
          <w:kern w:val="2"/>
          <w:sz w:val="44"/>
          <w:szCs w:val="44"/>
        </w:rPr>
        <w:t>没有重大违法记录和失信记录的书面声明</w:t>
      </w:r>
    </w:p>
    <w:p>
      <w:pPr>
        <w:snapToGrid w:val="0"/>
        <w:spacing w:line="460" w:lineRule="exact"/>
        <w:rPr>
          <w:rStyle w:val="22"/>
          <w:rFonts w:ascii="宋体" w:hAnsi="宋体"/>
          <w:b/>
          <w:color w:val="000000"/>
          <w:sz w:val="44"/>
          <w:szCs w:val="44"/>
        </w:rPr>
      </w:pPr>
    </w:p>
    <w:p>
      <w:pPr>
        <w:snapToGrid w:val="0"/>
        <w:spacing w:line="460" w:lineRule="exact"/>
        <w:jc w:val="center"/>
        <w:rPr>
          <w:rStyle w:val="22"/>
          <w:rFonts w:ascii="方正小标宋_GBK" w:hAnsi="方正小标宋_GBK" w:eastAsia="方正小标宋_GBK" w:cs="方正小标宋_GBK"/>
          <w:bCs/>
          <w:color w:val="000000"/>
          <w:sz w:val="44"/>
          <w:szCs w:val="44"/>
        </w:rPr>
      </w:pPr>
      <w:r>
        <w:rPr>
          <w:rStyle w:val="22"/>
          <w:rFonts w:hint="eastAsia" w:ascii="方正小标宋_GBK" w:hAnsi="方正小标宋_GBK" w:eastAsia="方正小标宋_GBK" w:cs="方正小标宋_GBK"/>
          <w:bCs/>
          <w:color w:val="000000"/>
          <w:sz w:val="44"/>
          <w:szCs w:val="44"/>
        </w:rPr>
        <w:t>声  明</w:t>
      </w:r>
    </w:p>
    <w:p>
      <w:pPr>
        <w:snapToGrid w:val="0"/>
        <w:spacing w:line="460" w:lineRule="exact"/>
        <w:ind w:firstLine="881"/>
        <w:jc w:val="center"/>
        <w:rPr>
          <w:rStyle w:val="22"/>
          <w:rFonts w:ascii="宋体" w:hAnsi="宋体"/>
          <w:b/>
          <w:color w:val="000000"/>
          <w:sz w:val="44"/>
          <w:szCs w:val="44"/>
        </w:rPr>
      </w:pPr>
    </w:p>
    <w:p>
      <w:pPr>
        <w:snapToGrid w:val="0"/>
        <w:spacing w:line="480" w:lineRule="auto"/>
        <w:ind w:firstLine="628"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我公司郑重声明：参加本次政府采购活动前3年内，我公司在经营活动中没有因违法经营受到刑事处罚或者责令停产停业、吊销许可证或者执照、较大数额罚款等行政处罚。</w:t>
      </w:r>
    </w:p>
    <w:p>
      <w:pPr>
        <w:snapToGrid w:val="0"/>
        <w:spacing w:line="480" w:lineRule="auto"/>
        <w:ind w:firstLine="628" w:firstLineChars="20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在投标截止时间节点，没有被“信用中国”网站（www.creditchina.gov.cn）列入失信被执行人、重大税收违法案件当事人名单、政府采购严重失信行为记录名单。</w:t>
      </w:r>
    </w:p>
    <w:p>
      <w:pPr>
        <w:snapToGrid w:val="0"/>
        <w:spacing w:line="480" w:lineRule="auto"/>
        <w:ind w:firstLine="628" w:firstLineChars="200"/>
        <w:jc w:val="left"/>
        <w:rPr>
          <w:rStyle w:val="22"/>
          <w:rFonts w:ascii="仿宋_GB2312" w:hAnsi="仿宋_GB2312" w:eastAsia="仿宋_GB2312" w:cs="仿宋_GB2312"/>
          <w:sz w:val="32"/>
          <w:szCs w:val="32"/>
        </w:rPr>
      </w:pPr>
    </w:p>
    <w:p>
      <w:pPr>
        <w:snapToGrid w:val="0"/>
        <w:spacing w:line="480" w:lineRule="auto"/>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                             供应商名称（公章）：</w:t>
      </w:r>
    </w:p>
    <w:p>
      <w:pPr>
        <w:snapToGrid w:val="0"/>
        <w:spacing w:line="480" w:lineRule="auto"/>
        <w:jc w:val="left"/>
        <w:rPr>
          <w:rStyle w:val="22"/>
          <w:rFonts w:ascii="仿宋_GB2312" w:hAnsi="仿宋_GB2312" w:eastAsia="仿宋_GB2312" w:cs="仿宋_GB2312"/>
          <w:sz w:val="32"/>
          <w:szCs w:val="32"/>
        </w:rPr>
      </w:pPr>
    </w:p>
    <w:p>
      <w:pPr>
        <w:snapToGrid w:val="0"/>
        <w:spacing w:line="480" w:lineRule="auto"/>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                              日期：</w:t>
      </w:r>
      <w:r>
        <w:rPr>
          <w:rStyle w:val="22"/>
          <w:rFonts w:hint="eastAsia" w:ascii="仿宋_GB2312" w:hAnsi="仿宋_GB2312" w:eastAsia="仿宋_GB2312" w:cs="仿宋_GB2312"/>
          <w:sz w:val="32"/>
          <w:szCs w:val="32"/>
          <w:lang w:val="en-US" w:eastAsia="zh-CN"/>
        </w:rPr>
        <w:t xml:space="preserve">    </w:t>
      </w:r>
      <w:r>
        <w:rPr>
          <w:rStyle w:val="22"/>
          <w:rFonts w:hint="eastAsia" w:ascii="仿宋_GB2312" w:hAnsi="仿宋_GB2312" w:eastAsia="仿宋_GB2312" w:cs="仿宋_GB2312"/>
          <w:sz w:val="32"/>
          <w:szCs w:val="32"/>
        </w:rPr>
        <w:t>年</w:t>
      </w:r>
      <w:r>
        <w:rPr>
          <w:rStyle w:val="22"/>
          <w:rFonts w:hint="eastAsia" w:ascii="仿宋_GB2312" w:hAnsi="仿宋_GB2312" w:eastAsia="仿宋_GB2312" w:cs="仿宋_GB2312"/>
          <w:sz w:val="32"/>
          <w:szCs w:val="32"/>
          <w:lang w:val="en-US" w:eastAsia="zh-CN"/>
        </w:rPr>
        <w:t xml:space="preserve">  </w:t>
      </w:r>
      <w:r>
        <w:rPr>
          <w:rStyle w:val="22"/>
          <w:rFonts w:hint="eastAsia" w:ascii="仿宋_GB2312" w:hAnsi="仿宋_GB2312" w:eastAsia="仿宋_GB2312" w:cs="仿宋_GB2312"/>
          <w:sz w:val="32"/>
          <w:szCs w:val="32"/>
        </w:rPr>
        <w:t xml:space="preserve"> 月</w:t>
      </w:r>
      <w:r>
        <w:rPr>
          <w:rStyle w:val="22"/>
          <w:rFonts w:hint="eastAsia" w:ascii="仿宋_GB2312" w:hAnsi="仿宋_GB2312" w:eastAsia="仿宋_GB2312" w:cs="仿宋_GB2312"/>
          <w:sz w:val="32"/>
          <w:szCs w:val="32"/>
          <w:lang w:val="en-US" w:eastAsia="zh-CN"/>
        </w:rPr>
        <w:t xml:space="preserve">  </w:t>
      </w:r>
      <w:r>
        <w:rPr>
          <w:rStyle w:val="22"/>
          <w:rFonts w:hint="eastAsia" w:ascii="仿宋_GB2312" w:hAnsi="仿宋_GB2312" w:eastAsia="仿宋_GB2312" w:cs="仿宋_GB2312"/>
          <w:sz w:val="32"/>
          <w:szCs w:val="32"/>
        </w:rPr>
        <w:t>日</w:t>
      </w:r>
    </w:p>
    <w:p>
      <w:pPr>
        <w:snapToGrid w:val="0"/>
        <w:jc w:val="center"/>
        <w:rPr>
          <w:rStyle w:val="22"/>
          <w:rFonts w:ascii="宋体" w:hAnsi="宋体"/>
          <w:sz w:val="18"/>
          <w:szCs w:val="18"/>
        </w:rPr>
      </w:pPr>
    </w:p>
    <w:p>
      <w:pPr>
        <w:pStyle w:val="65"/>
        <w:snapToGrid w:val="0"/>
        <w:spacing w:line="560" w:lineRule="atLeast"/>
        <w:ind w:firstLine="2132" w:firstLineChars="1225"/>
        <w:jc w:val="both"/>
        <w:rPr>
          <w:rStyle w:val="22"/>
          <w:rFonts w:ascii="宋体" w:hAnsi="宋体"/>
          <w:sz w:val="18"/>
          <w:szCs w:val="18"/>
        </w:rPr>
      </w:pPr>
    </w:p>
    <w:p>
      <w:pPr>
        <w:pStyle w:val="65"/>
        <w:snapToGrid w:val="0"/>
        <w:spacing w:line="560" w:lineRule="atLeast"/>
        <w:ind w:firstLine="2132" w:firstLineChars="1225"/>
        <w:jc w:val="both"/>
        <w:rPr>
          <w:rStyle w:val="22"/>
          <w:rFonts w:ascii="宋体" w:hAnsi="宋体"/>
          <w:sz w:val="18"/>
          <w:szCs w:val="18"/>
        </w:rPr>
      </w:pPr>
    </w:p>
    <w:p>
      <w:pPr>
        <w:pStyle w:val="65"/>
        <w:snapToGrid w:val="0"/>
        <w:spacing w:line="560" w:lineRule="atLeast"/>
        <w:ind w:firstLine="2132" w:firstLineChars="1225"/>
        <w:jc w:val="both"/>
        <w:rPr>
          <w:rStyle w:val="22"/>
          <w:rFonts w:ascii="宋体" w:hAnsi="宋体"/>
          <w:sz w:val="18"/>
          <w:szCs w:val="18"/>
        </w:rPr>
      </w:pPr>
    </w:p>
    <w:p>
      <w:pPr>
        <w:pStyle w:val="65"/>
        <w:snapToGrid w:val="0"/>
        <w:spacing w:line="560" w:lineRule="atLeast"/>
        <w:ind w:firstLine="2132" w:firstLineChars="1225"/>
        <w:jc w:val="both"/>
        <w:rPr>
          <w:rStyle w:val="22"/>
          <w:rFonts w:ascii="宋体" w:hAnsi="宋体"/>
          <w:sz w:val="18"/>
          <w:szCs w:val="18"/>
        </w:rPr>
      </w:pPr>
    </w:p>
    <w:p>
      <w:pPr>
        <w:pStyle w:val="65"/>
        <w:snapToGrid w:val="0"/>
        <w:spacing w:line="560" w:lineRule="atLeast"/>
        <w:ind w:firstLine="2132" w:firstLineChars="1225"/>
        <w:jc w:val="both"/>
        <w:rPr>
          <w:rStyle w:val="22"/>
          <w:rFonts w:ascii="宋体" w:hAnsi="宋体"/>
          <w:sz w:val="18"/>
          <w:szCs w:val="18"/>
        </w:rPr>
      </w:pPr>
    </w:p>
    <w:p>
      <w:pPr>
        <w:pStyle w:val="65"/>
        <w:snapToGrid w:val="0"/>
        <w:spacing w:line="560" w:lineRule="atLeast"/>
        <w:jc w:val="center"/>
        <w:rPr>
          <w:rStyle w:val="22"/>
          <w:rFonts w:ascii="方正小标宋_GBK" w:hAnsi="方正小标宋_GBK" w:eastAsia="方正小标宋_GBK" w:cs="方正小标宋_GBK"/>
          <w:sz w:val="44"/>
          <w:szCs w:val="44"/>
        </w:rPr>
      </w:pPr>
      <w:r>
        <w:rPr>
          <w:rStyle w:val="22"/>
          <w:rFonts w:hint="eastAsia" w:ascii="方正小标宋_GBK" w:hAnsi="方正小标宋_GBK" w:eastAsia="方正小标宋_GBK" w:cs="方正小标宋_GBK"/>
          <w:sz w:val="44"/>
          <w:szCs w:val="44"/>
        </w:rPr>
        <w:t>上一年度的财务状况报告承诺函</w:t>
      </w:r>
    </w:p>
    <w:p>
      <w:pPr>
        <w:snapToGrid w:val="0"/>
        <w:jc w:val="center"/>
        <w:rPr>
          <w:rStyle w:val="22"/>
          <w:rFonts w:ascii="宋体" w:hAnsi="宋体" w:cs="宋体"/>
          <w:b/>
          <w:bCs/>
          <w:sz w:val="36"/>
          <w:szCs w:val="36"/>
        </w:rPr>
      </w:pPr>
    </w:p>
    <w:p>
      <w:pPr>
        <w:snapToGrid w:val="0"/>
        <w:spacing w:line="480" w:lineRule="auto"/>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u w:val="single" w:color="000000"/>
        </w:rPr>
        <w:t>南通市创聚商贸有限公司</w:t>
      </w:r>
      <w:r>
        <w:rPr>
          <w:rStyle w:val="22"/>
          <w:rFonts w:hint="eastAsia" w:ascii="仿宋_GB2312" w:hAnsi="仿宋_GB2312" w:eastAsia="仿宋_GB2312" w:cs="仿宋_GB2312"/>
          <w:sz w:val="32"/>
          <w:szCs w:val="32"/>
        </w:rPr>
        <w:t>：</w:t>
      </w:r>
    </w:p>
    <w:p>
      <w:pPr>
        <w:snapToGrid w:val="0"/>
        <w:spacing w:line="480" w:lineRule="auto"/>
        <w:ind w:firstLine="56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我单位（供应商名称）郑重承诺：</w:t>
      </w:r>
    </w:p>
    <w:p>
      <w:pPr>
        <w:snapToGrid w:val="0"/>
        <w:spacing w:line="480" w:lineRule="auto"/>
        <w:ind w:firstLine="56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贵方组织的(项目名称），(项目编号），我单位(在下划线上如实填写：有或没有）良好的商业信誉和健全的财务会计制度。</w:t>
      </w:r>
    </w:p>
    <w:p>
      <w:pPr>
        <w:snapToGrid w:val="0"/>
        <w:spacing w:line="480" w:lineRule="auto"/>
        <w:ind w:firstLine="560"/>
        <w:jc w:val="left"/>
        <w:rPr>
          <w:rStyle w:val="22"/>
          <w:rFonts w:ascii="仿宋_GB2312" w:hAnsi="仿宋_GB2312" w:eastAsia="仿宋_GB2312" w:cs="仿宋_GB2312"/>
          <w:sz w:val="32"/>
          <w:szCs w:val="32"/>
        </w:rPr>
      </w:pPr>
    </w:p>
    <w:p>
      <w:pPr>
        <w:snapToGrid w:val="0"/>
        <w:spacing w:line="480" w:lineRule="auto"/>
        <w:ind w:firstLine="560"/>
        <w:jc w:val="left"/>
        <w:rPr>
          <w:rStyle w:val="22"/>
          <w:rFonts w:ascii="仿宋_GB2312" w:hAnsi="仿宋_GB2312" w:eastAsia="仿宋_GB2312" w:cs="仿宋_GB2312"/>
          <w:sz w:val="32"/>
          <w:szCs w:val="32"/>
        </w:rPr>
      </w:pPr>
    </w:p>
    <w:p>
      <w:pPr>
        <w:snapToGrid w:val="0"/>
        <w:spacing w:line="480" w:lineRule="auto"/>
        <w:ind w:firstLine="560"/>
        <w:jc w:val="left"/>
        <w:rPr>
          <w:rStyle w:val="22"/>
          <w:rFonts w:ascii="仿宋_GB2312" w:hAnsi="仿宋_GB2312" w:eastAsia="仿宋_GB2312" w:cs="仿宋_GB2312"/>
          <w:sz w:val="32"/>
          <w:szCs w:val="32"/>
        </w:rPr>
      </w:pPr>
    </w:p>
    <w:p>
      <w:pPr>
        <w:snapToGrid w:val="0"/>
        <w:spacing w:line="480" w:lineRule="auto"/>
        <w:ind w:firstLine="560"/>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                               承诺人：（公章）</w:t>
      </w:r>
    </w:p>
    <w:p>
      <w:pPr>
        <w:snapToGrid w:val="0"/>
        <w:spacing w:line="480" w:lineRule="auto"/>
        <w:ind w:firstLine="5222" w:firstLineChars="1663"/>
        <w:jc w:val="left"/>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 xml:space="preserve">  年    月   日</w:t>
      </w:r>
    </w:p>
    <w:p>
      <w:pPr>
        <w:snapToGrid w:val="0"/>
        <w:spacing w:line="360" w:lineRule="auto"/>
        <w:jc w:val="center"/>
        <w:rPr>
          <w:rStyle w:val="22"/>
          <w:rFonts w:ascii="仿宋_GB2312" w:hAnsi="仿宋_GB2312" w:eastAsia="仿宋_GB2312" w:cs="仿宋_GB2312"/>
          <w:b/>
          <w:bCs/>
          <w:sz w:val="32"/>
          <w:szCs w:val="32"/>
        </w:rPr>
      </w:pPr>
    </w:p>
    <w:p>
      <w:pPr>
        <w:snapToGrid w:val="0"/>
        <w:jc w:val="center"/>
        <w:rPr>
          <w:rStyle w:val="22"/>
          <w:rFonts w:ascii="宋体" w:hAnsi="宋体"/>
        </w:rPr>
      </w:pPr>
    </w:p>
    <w:p>
      <w:pPr>
        <w:snapToGrid w:val="0"/>
        <w:jc w:val="center"/>
        <w:rPr>
          <w:rStyle w:val="22"/>
          <w:rFonts w:ascii="宋体" w:hAnsi="宋体"/>
        </w:rPr>
      </w:pPr>
    </w:p>
    <w:p>
      <w:pPr>
        <w:snapToGrid w:val="0"/>
        <w:jc w:val="center"/>
        <w:rPr>
          <w:rStyle w:val="22"/>
          <w:rFonts w:ascii="宋体" w:hAnsi="宋体"/>
        </w:rPr>
      </w:pPr>
    </w:p>
    <w:p>
      <w:pPr>
        <w:snapToGrid w:val="0"/>
        <w:jc w:val="center"/>
        <w:rPr>
          <w:rStyle w:val="22"/>
          <w:rFonts w:ascii="宋体" w:hAnsi="宋体"/>
        </w:rPr>
      </w:pPr>
    </w:p>
    <w:p>
      <w:pPr>
        <w:snapToGrid w:val="0"/>
        <w:jc w:val="center"/>
        <w:rPr>
          <w:rStyle w:val="22"/>
          <w:rFonts w:ascii="宋体" w:hAnsi="宋体"/>
        </w:rPr>
      </w:pPr>
    </w:p>
    <w:p>
      <w:pPr>
        <w:snapToGrid w:val="0"/>
        <w:jc w:val="center"/>
        <w:rPr>
          <w:rStyle w:val="22"/>
          <w:rFonts w:ascii="宋体" w:hAnsi="宋体"/>
        </w:rPr>
      </w:pPr>
    </w:p>
    <w:p>
      <w:pPr>
        <w:pStyle w:val="18"/>
      </w:pPr>
    </w:p>
    <w:p>
      <w:pPr>
        <w:pStyle w:val="18"/>
      </w:pPr>
    </w:p>
    <w:p>
      <w:pPr>
        <w:pStyle w:val="18"/>
      </w:pPr>
    </w:p>
    <w:p>
      <w:pPr>
        <w:snapToGrid w:val="0"/>
        <w:jc w:val="center"/>
        <w:rPr>
          <w:rStyle w:val="22"/>
          <w:rFonts w:ascii="宋体" w:hAnsi="宋体"/>
        </w:rPr>
      </w:pPr>
    </w:p>
    <w:p>
      <w:pPr>
        <w:snapToGrid w:val="0"/>
        <w:jc w:val="center"/>
        <w:rPr>
          <w:rStyle w:val="22"/>
          <w:rFonts w:ascii="宋体" w:hAnsi="宋体"/>
        </w:rPr>
      </w:pPr>
    </w:p>
    <w:p>
      <w:pPr>
        <w:snapToGrid w:val="0"/>
        <w:jc w:val="center"/>
        <w:rPr>
          <w:rStyle w:val="22"/>
          <w:rFonts w:ascii="宋体" w:hAnsi="宋体"/>
        </w:rPr>
      </w:pPr>
    </w:p>
    <w:p>
      <w:pPr>
        <w:pStyle w:val="18"/>
      </w:pPr>
    </w:p>
    <w:p>
      <w:pPr>
        <w:snapToGrid w:val="0"/>
        <w:spacing w:line="360" w:lineRule="auto"/>
        <w:jc w:val="center"/>
        <w:rPr>
          <w:rStyle w:val="22"/>
          <w:rFonts w:ascii="仿宋_GB2312" w:hAnsi="仿宋_GB2312" w:eastAsia="仿宋_GB2312" w:cs="仿宋_GB2312"/>
          <w:bCs/>
          <w:sz w:val="32"/>
          <w:szCs w:val="32"/>
        </w:rPr>
      </w:pPr>
      <w:r>
        <w:rPr>
          <w:rStyle w:val="22"/>
          <w:rFonts w:hint="eastAsia" w:ascii="方正小标宋_GBK" w:hAnsi="方正小标宋_GBK" w:eastAsia="方正小标宋_GBK" w:cs="方正小标宋_GBK"/>
          <w:bCs/>
          <w:sz w:val="44"/>
          <w:szCs w:val="44"/>
        </w:rPr>
        <w:t>南通市创聚商贸有限公司</w:t>
      </w:r>
      <w:r>
        <w:rPr>
          <w:rFonts w:hint="eastAsia" w:ascii="方正小标宋_GBK" w:hAnsi="方正小标宋_GBK" w:eastAsia="方正小标宋_GBK" w:cs="方正小标宋_GBK"/>
          <w:bCs/>
          <w:sz w:val="44"/>
          <w:szCs w:val="44"/>
        </w:rPr>
        <w:t>海门机关超市年度经营项目</w:t>
      </w:r>
      <w:r>
        <w:rPr>
          <w:rStyle w:val="22"/>
          <w:rFonts w:hint="eastAsia" w:ascii="方正小标宋_GBK" w:hAnsi="方正小标宋_GBK" w:eastAsia="方正小标宋_GBK" w:cs="方正小标宋_GBK"/>
          <w:bCs/>
          <w:sz w:val="44"/>
          <w:szCs w:val="44"/>
        </w:rPr>
        <w:t>报价一览表</w:t>
      </w:r>
    </w:p>
    <w:p>
      <w:pPr>
        <w:snapToGrid w:val="0"/>
        <w:spacing w:line="360" w:lineRule="auto"/>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投标单位：（盖章）</w:t>
      </w:r>
    </w:p>
    <w:tbl>
      <w:tblPr>
        <w:tblStyle w:val="11"/>
        <w:tblW w:w="99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2981"/>
        <w:gridCol w:w="2626"/>
        <w:gridCol w:w="3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6" w:hRule="atLeast"/>
          <w:jc w:val="center"/>
        </w:trPr>
        <w:tc>
          <w:tcPr>
            <w:tcW w:w="81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262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结算费用</w:t>
            </w:r>
          </w:p>
        </w:tc>
        <w:tc>
          <w:tcPr>
            <w:tcW w:w="3556" w:type="dxa"/>
            <w:tcBorders>
              <w:top w:val="single" w:color="000000" w:sz="4" w:space="0"/>
              <w:left w:val="single" w:color="000000" w:sz="4" w:space="0"/>
              <w:bottom w:val="single" w:color="000000" w:sz="4" w:space="0"/>
              <w:right w:val="single" w:color="000000" w:sz="4" w:space="0"/>
            </w:tcBorders>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5" w:hRule="atLeast"/>
          <w:jc w:val="center"/>
        </w:trPr>
        <w:tc>
          <w:tcPr>
            <w:tcW w:w="81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left="1" w:firstLine="35" w:firstLineChars="11"/>
              <w:jc w:val="left"/>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南通市创聚商贸有限公司海门机关超市年度经营项目</w:t>
            </w:r>
          </w:p>
        </w:tc>
        <w:tc>
          <w:tcPr>
            <w:tcW w:w="262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按营业额比例</w:t>
            </w:r>
            <w:r>
              <w:rPr>
                <w:rFonts w:hint="eastAsia" w:ascii="仿宋_GB2312" w:hAnsi="仿宋_GB2312" w:eastAsia="仿宋_GB2312" w:cs="仿宋_GB2312"/>
                <w:color w:val="000000"/>
                <w:sz w:val="32"/>
                <w:szCs w:val="32"/>
              </w:rPr>
              <w:t>%</w:t>
            </w:r>
          </w:p>
        </w:tc>
        <w:tc>
          <w:tcPr>
            <w:tcW w:w="355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35" w:firstLineChars="11"/>
              <w:textAlignment w:val="bottom"/>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含自动售卖机业务。</w:t>
            </w:r>
          </w:p>
        </w:tc>
      </w:tr>
    </w:tbl>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snapToGrid w:val="0"/>
        <w:spacing w:line="360" w:lineRule="auto"/>
        <w:jc w:val="center"/>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法定代表人（授权代表）签名：</w:t>
      </w:r>
    </w:p>
    <w:p>
      <w:pPr>
        <w:pStyle w:val="18"/>
        <w:snapToGrid w:val="0"/>
        <w:ind w:firstLine="5338" w:firstLineChars="1700"/>
        <w:rPr>
          <w:rStyle w:val="22"/>
          <w:rFonts w:ascii="仿宋_GB2312" w:hAnsi="仿宋_GB2312" w:eastAsia="仿宋_GB2312" w:cs="仿宋_GB2312"/>
          <w:sz w:val="32"/>
          <w:szCs w:val="32"/>
        </w:rPr>
      </w:pPr>
      <w:r>
        <w:rPr>
          <w:rStyle w:val="22"/>
          <w:rFonts w:hint="eastAsia" w:ascii="仿宋_GB2312" w:hAnsi="仿宋_GB2312" w:eastAsia="仿宋_GB2312" w:cs="仿宋_GB2312"/>
          <w:bCs/>
          <w:sz w:val="32"/>
          <w:szCs w:val="32"/>
        </w:rPr>
        <w:t>2022年   月   日</w:t>
      </w:r>
    </w:p>
    <w:p>
      <w:pPr>
        <w:pStyle w:val="18"/>
        <w:snapToGrid w:val="0"/>
        <w:rPr>
          <w:rStyle w:val="22"/>
          <w:rFonts w:ascii="仿宋_GB2312" w:hAnsi="仿宋_GB2312" w:eastAsia="仿宋_GB2312" w:cs="仿宋_GB2312"/>
          <w:sz w:val="32"/>
          <w:szCs w:val="3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rPr>
          <w:rStyle w:val="22"/>
        </w:rPr>
      </w:pPr>
    </w:p>
    <w:p>
      <w:pPr>
        <w:pStyle w:val="18"/>
        <w:snapToGrid w:val="0"/>
        <w:spacing w:line="360" w:lineRule="auto"/>
        <w:ind w:firstLine="0"/>
        <w:jc w:val="left"/>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以下内容单独打印随时携带，需盖章部分提前盖好，价格开标时填写：</w:t>
      </w:r>
    </w:p>
    <w:p>
      <w:pPr>
        <w:pStyle w:val="18"/>
        <w:snapToGrid w:val="0"/>
        <w:spacing w:line="360" w:lineRule="auto"/>
        <w:ind w:firstLine="0"/>
        <w:jc w:val="center"/>
        <w:rPr>
          <w:rStyle w:val="22"/>
          <w:rFonts w:ascii="宋体" w:hAnsi="宋体"/>
          <w:b/>
          <w:sz w:val="36"/>
          <w:szCs w:val="36"/>
        </w:rPr>
      </w:pPr>
    </w:p>
    <w:p>
      <w:pPr>
        <w:pStyle w:val="18"/>
        <w:snapToGrid w:val="0"/>
        <w:spacing w:line="360" w:lineRule="auto"/>
        <w:ind w:firstLine="0"/>
        <w:jc w:val="center"/>
        <w:rPr>
          <w:rStyle w:val="22"/>
          <w:rFonts w:ascii="方正小标宋_GBK" w:hAnsi="方正小标宋_GBK" w:eastAsia="方正小标宋_GBK" w:cs="方正小标宋_GBK"/>
          <w:bCs/>
          <w:sz w:val="44"/>
          <w:szCs w:val="44"/>
        </w:rPr>
      </w:pPr>
      <w:r>
        <w:rPr>
          <w:rStyle w:val="22"/>
          <w:rFonts w:hint="eastAsia" w:ascii="方正小标宋_GBK" w:hAnsi="方正小标宋_GBK" w:eastAsia="方正小标宋_GBK" w:cs="方正小标宋_GBK"/>
          <w:bCs/>
          <w:sz w:val="44"/>
          <w:szCs w:val="44"/>
        </w:rPr>
        <w:t>南通市创聚商贸有限公司</w:t>
      </w:r>
      <w:r>
        <w:rPr>
          <w:rFonts w:hint="eastAsia" w:ascii="方正小标宋_GBK" w:hAnsi="方正小标宋_GBK" w:eastAsia="方正小标宋_GBK" w:cs="方正小标宋_GBK"/>
          <w:bCs/>
          <w:sz w:val="44"/>
          <w:szCs w:val="44"/>
        </w:rPr>
        <w:t>海门机关超市年度经营项目</w:t>
      </w:r>
      <w:r>
        <w:rPr>
          <w:rStyle w:val="22"/>
          <w:rFonts w:hint="eastAsia" w:ascii="方正小标宋_GBK" w:hAnsi="方正小标宋_GBK" w:eastAsia="方正小标宋_GBK" w:cs="方正小标宋_GBK"/>
          <w:bCs/>
          <w:sz w:val="44"/>
          <w:szCs w:val="44"/>
        </w:rPr>
        <w:t>二次报价一览表</w:t>
      </w:r>
    </w:p>
    <w:p>
      <w:pPr>
        <w:snapToGrid w:val="0"/>
        <w:spacing w:line="360" w:lineRule="auto"/>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投标单位：（盖章）</w:t>
      </w:r>
    </w:p>
    <w:tbl>
      <w:tblPr>
        <w:tblStyle w:val="11"/>
        <w:tblW w:w="99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2981"/>
        <w:gridCol w:w="2626"/>
        <w:gridCol w:w="3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6" w:hRule="atLeast"/>
          <w:jc w:val="center"/>
        </w:trPr>
        <w:tc>
          <w:tcPr>
            <w:tcW w:w="81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262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结算费用</w:t>
            </w:r>
          </w:p>
        </w:tc>
        <w:tc>
          <w:tcPr>
            <w:tcW w:w="3556" w:type="dxa"/>
            <w:tcBorders>
              <w:top w:val="single" w:color="000000" w:sz="4" w:space="0"/>
              <w:left w:val="single" w:color="000000" w:sz="4" w:space="0"/>
              <w:bottom w:val="single" w:color="000000" w:sz="4" w:space="0"/>
              <w:right w:val="single" w:color="000000" w:sz="4" w:space="0"/>
            </w:tcBorders>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5" w:hRule="atLeast"/>
          <w:jc w:val="center"/>
        </w:trPr>
        <w:tc>
          <w:tcPr>
            <w:tcW w:w="81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left="1" w:firstLine="35" w:firstLineChars="11"/>
              <w:jc w:val="left"/>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南通市创聚商贸有限公司海门机关超市年度经营项目</w:t>
            </w:r>
          </w:p>
        </w:tc>
        <w:tc>
          <w:tcPr>
            <w:tcW w:w="262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按营业额比例</w:t>
            </w:r>
            <w:r>
              <w:rPr>
                <w:rFonts w:hint="eastAsia" w:ascii="仿宋_GB2312" w:hAnsi="仿宋_GB2312" w:eastAsia="仿宋_GB2312" w:cs="仿宋_GB2312"/>
                <w:color w:val="000000"/>
                <w:sz w:val="32"/>
                <w:szCs w:val="32"/>
              </w:rPr>
              <w:t>%</w:t>
            </w:r>
          </w:p>
        </w:tc>
        <w:tc>
          <w:tcPr>
            <w:tcW w:w="355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5" w:firstLineChars="11"/>
              <w:textAlignment w:val="bottom"/>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含自动售卖机业务。</w:t>
            </w:r>
          </w:p>
        </w:tc>
      </w:tr>
    </w:tbl>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pStyle w:val="18"/>
        <w:snapToGrid w:val="0"/>
        <w:rPr>
          <w:rStyle w:val="22"/>
          <w:rFonts w:ascii="仿宋_GB2312" w:hAnsi="仿宋_GB2312" w:eastAsia="仿宋_GB2312" w:cs="仿宋_GB2312"/>
          <w:sz w:val="32"/>
          <w:szCs w:val="32"/>
        </w:rPr>
      </w:pPr>
    </w:p>
    <w:p>
      <w:pPr>
        <w:snapToGrid w:val="0"/>
        <w:spacing w:line="360" w:lineRule="auto"/>
        <w:jc w:val="center"/>
        <w:rPr>
          <w:rStyle w:val="22"/>
          <w:rFonts w:ascii="仿宋_GB2312" w:hAnsi="仿宋_GB2312" w:eastAsia="仿宋_GB2312" w:cs="仿宋_GB2312"/>
          <w:bCs/>
          <w:sz w:val="32"/>
          <w:szCs w:val="32"/>
        </w:rPr>
      </w:pPr>
      <w:r>
        <w:rPr>
          <w:rStyle w:val="22"/>
          <w:rFonts w:hint="eastAsia" w:ascii="仿宋_GB2312" w:hAnsi="仿宋_GB2312" w:eastAsia="仿宋_GB2312" w:cs="仿宋_GB2312"/>
          <w:bCs/>
          <w:sz w:val="32"/>
          <w:szCs w:val="32"/>
        </w:rPr>
        <w:t>法定代表人（授权代表）签名：</w:t>
      </w:r>
    </w:p>
    <w:p>
      <w:pPr>
        <w:pStyle w:val="18"/>
        <w:snapToGrid w:val="0"/>
        <w:rPr>
          <w:rStyle w:val="22"/>
          <w:rFonts w:ascii="仿宋_GB2312" w:hAnsi="仿宋_GB2312" w:eastAsia="仿宋_GB2312" w:cs="仿宋_GB2312"/>
          <w:sz w:val="32"/>
          <w:szCs w:val="32"/>
        </w:rPr>
      </w:pPr>
      <w:r>
        <w:rPr>
          <w:rStyle w:val="22"/>
          <w:rFonts w:hint="eastAsia" w:ascii="仿宋_GB2312" w:hAnsi="仿宋_GB2312" w:eastAsia="仿宋_GB2312" w:cs="仿宋_GB2312"/>
          <w:bCs/>
          <w:sz w:val="32"/>
          <w:szCs w:val="32"/>
        </w:rPr>
        <w:t xml:space="preserve">                                2022年   月    日</w:t>
      </w:r>
    </w:p>
    <w:p>
      <w:pPr>
        <w:pStyle w:val="18"/>
        <w:snapToGrid w:val="0"/>
        <w:rPr>
          <w:rStyle w:val="22"/>
          <w:rFonts w:ascii="仿宋_GB2312" w:hAnsi="仿宋_GB2312" w:eastAsia="仿宋_GB2312" w:cs="仿宋_GB2312"/>
          <w:sz w:val="32"/>
          <w:szCs w:val="32"/>
        </w:rPr>
      </w:pPr>
    </w:p>
    <w:p>
      <w:pPr>
        <w:pStyle w:val="18"/>
        <w:snapToGrid w:val="0"/>
        <w:rPr>
          <w:rStyle w:val="22"/>
        </w:rPr>
      </w:pPr>
    </w:p>
    <w:p>
      <w:pPr>
        <w:pStyle w:val="18"/>
        <w:snapToGrid w:val="0"/>
        <w:rPr>
          <w:rStyle w:val="22"/>
        </w:rPr>
      </w:pPr>
    </w:p>
    <w:p/>
    <w:p/>
    <w:p/>
    <w:p>
      <w:pPr>
        <w:pStyle w:val="18"/>
      </w:pPr>
    </w:p>
    <w:p>
      <w:pPr>
        <w:pStyle w:val="18"/>
      </w:pPr>
    </w:p>
    <w:p>
      <w:pPr>
        <w:widowControl w:val="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第八部分 新冠肺炎疫情防控文件</w:t>
      </w:r>
    </w:p>
    <w:p>
      <w:pPr>
        <w:widowControl w:val="0"/>
        <w:textAlignment w:val="auto"/>
        <w:rPr>
          <w:rFonts w:ascii="宋体" w:hAnsi="宋体"/>
          <w:sz w:val="40"/>
          <w:szCs w:val="18"/>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由参加投标人员提前签署，于开标现场提交</w:t>
      </w:r>
      <w:r>
        <w:rPr>
          <w:rFonts w:hint="eastAsia" w:ascii="仿宋_GB2312" w:hAnsi="仿宋_GB2312" w:eastAsia="仿宋_GB2312" w:cs="仿宋_GB2312"/>
          <w:sz w:val="32"/>
          <w:szCs w:val="32"/>
        </w:rPr>
        <w:t>）</w:t>
      </w:r>
    </w:p>
    <w:p>
      <w:pPr>
        <w:widowControl w:val="0"/>
        <w:ind w:firstLine="420"/>
        <w:textAlignment w:val="auto"/>
        <w:rPr>
          <w:sz w:val="20"/>
          <w:szCs w:val="18"/>
        </w:rPr>
        <w:sectPr>
          <w:pgSz w:w="11906" w:h="16838"/>
          <w:pgMar w:top="1361" w:right="1959" w:bottom="1418" w:left="1474" w:header="851" w:footer="992" w:gutter="0"/>
          <w:cols w:space="720" w:num="1"/>
          <w:titlePg/>
          <w:docGrid w:type="linesAndChars" w:linePitch="286" w:charSpace="-1313"/>
        </w:sectPr>
      </w:pPr>
    </w:p>
    <w:p>
      <w:pPr>
        <w:widowControl w:val="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idowControl w:val="0"/>
        <w:spacing w:line="480" w:lineRule="exact"/>
        <w:ind w:firstLine="880" w:firstLineChars="200"/>
        <w:jc w:val="center"/>
        <w:rPr>
          <w:rFonts w:ascii="方正小标宋_GBK" w:hAnsi="方正小标宋_GBK" w:eastAsia="方正小标宋_GBK" w:cs="方正小标宋_GBK"/>
          <w:bCs/>
          <w:sz w:val="44"/>
          <w:szCs w:val="44"/>
        </w:rPr>
      </w:pPr>
    </w:p>
    <w:p>
      <w:pPr>
        <w:widowControl w:val="0"/>
        <w:spacing w:line="480" w:lineRule="exact"/>
        <w:ind w:firstLine="880" w:firstLineChars="20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新冠肺炎疫情防控承诺书</w:t>
      </w:r>
    </w:p>
    <w:p>
      <w:pPr>
        <w:widowControl w:val="0"/>
        <w:ind w:firstLine="420"/>
        <w:textAlignment w:val="auto"/>
        <w:rPr>
          <w:rFonts w:ascii="Calibri" w:hAnsi="Calibri" w:cs="宋体"/>
          <w:szCs w:val="24"/>
        </w:rPr>
      </w:pPr>
    </w:p>
    <w:p>
      <w:pPr>
        <w:widowControl w:val="0"/>
        <w:spacing w:line="360" w:lineRule="auto"/>
        <w:ind w:left="6720" w:hanging="6720" w:hangingChars="21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本人姓名：户籍地：</w:t>
      </w:r>
    </w:p>
    <w:p>
      <w:pPr>
        <w:widowControl w:val="0"/>
        <w:spacing w:line="360" w:lineRule="auto"/>
        <w:ind w:left="6720" w:hanging="6720" w:hangingChars="21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居住地：</w:t>
      </w:r>
    </w:p>
    <w:p>
      <w:pPr>
        <w:widowControl w:val="0"/>
        <w:spacing w:line="360" w:lineRule="auto"/>
        <w:ind w:left="6720" w:hanging="6720" w:hangingChars="21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身份证号：联系电话：</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1、无新冠肺炎感染的症状。</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2、14天内未与新冠肺炎确证及疑似人员直接接触。</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3、14天内未到过疫情中、高风险地区</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4、14天内未接触中、高风险地区人员。</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5、14天内没有到境外的旅居史，没有与境外人员接触。</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6、14天内无涉外货物接触史，特别是涉及冷链进口产品、包装及配送储存设施设备等接触史。</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7、14天内没有发热、咳嗽、气促、脓痰、乏力等新冠肺炎疑似症状。</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8、未处于14（集中医学观察）+7（集中健康管理）+7（社区居家健康监测）期间的</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9、本人充分理解并遵守招投标活动期间各项防疫安全要求，招投标活动期间将自行做好防护，自觉配合体温测量等防疫工作。</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10、招投标活动期间如出现咳嗽、发热等身体异常情况，将自觉接受流行病学调查，并主动配合落实相关疫情防控措施。</w:t>
      </w:r>
    </w:p>
    <w:p>
      <w:pPr>
        <w:widowControl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11、本人承诺以上内容均属实，如隐瞒、虚报、谎报，本人愿意承担相关法律责任和后果。</w:t>
      </w:r>
    </w:p>
    <w:p>
      <w:pPr>
        <w:pStyle w:val="2"/>
        <w:spacing w:line="560" w:lineRule="exact"/>
        <w:ind w:firstLine="640" w:firstLineChars="200"/>
        <w:rPr>
          <w:rFonts w:eastAsia="仿宋_GB2312"/>
        </w:rPr>
      </w:pPr>
      <w:r>
        <w:rPr>
          <w:rFonts w:hint="eastAsia" w:ascii="仿宋_GB2312" w:hAnsi="仿宋_GB2312" w:eastAsia="仿宋_GB2312" w:cs="仿宋_GB2312"/>
          <w:sz w:val="32"/>
          <w:szCs w:val="32"/>
        </w:rPr>
        <w:t>12.为严格落实疫情防控常态化管控措施，投标单位进入嘉陵江商务大厦的人员原则上不得超过两人同时只可一人进入开标室参与投标。若投标人违反上述规定的，视情按否决投标处理。</w:t>
      </w:r>
    </w:p>
    <w:p>
      <w:pPr>
        <w:widowControl w:val="0"/>
        <w:spacing w:line="560" w:lineRule="exact"/>
        <w:jc w:val="left"/>
        <w:textAlignment w:val="auto"/>
        <w:rPr>
          <w:rFonts w:ascii="仿宋_GB2312" w:hAnsi="仿宋_GB2312" w:eastAsia="仿宋_GB2312" w:cs="仿宋_GB2312"/>
          <w:sz w:val="32"/>
          <w:szCs w:val="32"/>
        </w:rPr>
      </w:pPr>
    </w:p>
    <w:p>
      <w:pPr>
        <w:widowControl w:val="0"/>
        <w:spacing w:line="560" w:lineRule="exact"/>
        <w:jc w:val="left"/>
        <w:textAlignment w:val="auto"/>
        <w:rPr>
          <w:rFonts w:ascii="仿宋_GB2312" w:hAnsi="仿宋_GB2312" w:eastAsia="仿宋_GB2312" w:cs="仿宋_GB2312"/>
          <w:sz w:val="32"/>
          <w:szCs w:val="32"/>
        </w:rPr>
      </w:pPr>
    </w:p>
    <w:p>
      <w:pPr>
        <w:widowControl w:val="0"/>
        <w:spacing w:line="560" w:lineRule="exact"/>
        <w:jc w:val="left"/>
        <w:textAlignment w:val="auto"/>
        <w:rPr>
          <w:rFonts w:ascii="仿宋_GB2312" w:hAnsi="仿宋_GB2312" w:eastAsia="仿宋_GB2312" w:cs="仿宋_GB2312"/>
          <w:sz w:val="32"/>
          <w:szCs w:val="32"/>
        </w:rPr>
      </w:pPr>
    </w:p>
    <w:p>
      <w:pPr>
        <w:widowControl w:val="0"/>
        <w:spacing w:line="560" w:lineRule="exact"/>
        <w:ind w:firstLine="2800" w:firstLineChars="875"/>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承诺人（参与现场投标人员）签字：</w:t>
      </w:r>
    </w:p>
    <w:p>
      <w:pPr>
        <w:widowControl w:val="0"/>
        <w:spacing w:line="560" w:lineRule="exact"/>
        <w:ind w:firstLine="5760" w:firstLineChars="1800"/>
        <w:textAlignment w:val="auto"/>
        <w:rPr>
          <w:rFonts w:ascii="Calibri" w:hAnsi="Calibri" w:cs="宋体"/>
          <w:sz w:val="24"/>
          <w:szCs w:val="24"/>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widowControl w:val="0"/>
        <w:ind w:firstLine="420"/>
        <w:textAlignment w:val="auto"/>
      </w:pPr>
    </w:p>
    <w:p>
      <w:pPr>
        <w:pStyle w:val="18"/>
      </w:pPr>
    </w:p>
    <w:p>
      <w:pPr>
        <w:pStyle w:val="18"/>
      </w:pPr>
    </w:p>
    <w:sectPr>
      <w:headerReference r:id="rId8" w:type="first"/>
      <w:footerReference r:id="rId11" w:type="first"/>
      <w:headerReference r:id="rId6" w:type="default"/>
      <w:footerReference r:id="rId9" w:type="default"/>
      <w:headerReference r:id="rId7" w:type="even"/>
      <w:footerReference r:id="rId10" w:type="even"/>
      <w:pgSz w:w="11906" w:h="16838"/>
      <w:pgMar w:top="1814" w:right="1531" w:bottom="1985" w:left="1531" w:header="851" w:footer="907" w:gutter="0"/>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7274"/>
    </w:sdtPr>
    <w:sdtContent>
      <w:p>
        <w:pPr>
          <w:pStyle w:val="7"/>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7275"/>
    </w:sdtPr>
    <w:sdtContent>
      <w:p>
        <w:pPr>
          <w:pStyle w:val="7"/>
          <w:jc w:val="center"/>
        </w:pPr>
        <w:r>
          <w:fldChar w:fldCharType="begin"/>
        </w:r>
        <w:r>
          <w:instrText xml:space="preserve"> PAGE   \* MERGEFORMAT </w:instrText>
        </w:r>
        <w:r>
          <w:fldChar w:fldCharType="separate"/>
        </w:r>
        <w:r>
          <w:rPr>
            <w:lang w:val="zh-CN"/>
          </w:rPr>
          <w:t>39</w:t>
        </w:r>
        <w:r>
          <w:rPr>
            <w:lang w:val="zh-CN"/>
          </w:rPr>
          <w:fldChar w:fldCharType="end"/>
        </w:r>
      </w:p>
    </w:sdtContent>
  </w:sdt>
  <w:p>
    <w:pPr>
      <w:rPr>
        <w:rStyle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60</w:t>
    </w:r>
    <w:r>
      <w:rPr>
        <w:lang w:val="zh-CN"/>
      </w:rPr>
      <w:fldChar w:fldCharType="end"/>
    </w:r>
  </w:p>
  <w:p>
    <w:pPr>
      <w:rPr>
        <w:rStyle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Style w:val="22"/>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Style w:val="22"/>
        <w:rFonts w:eastAsia="楷体_GB2312"/>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43959"/>
    <w:multiLevelType w:val="singleLevel"/>
    <w:tmpl w:val="94543959"/>
    <w:lvl w:ilvl="0" w:tentative="0">
      <w:start w:val="5"/>
      <w:numFmt w:val="chineseCounting"/>
      <w:suff w:val="nothing"/>
      <w:lvlText w:val="%1、"/>
      <w:lvlJc w:val="left"/>
      <w:rPr>
        <w:rFonts w:hint="eastAsia"/>
      </w:rPr>
    </w:lvl>
  </w:abstractNum>
  <w:abstractNum w:abstractNumId="1">
    <w:nsid w:val="20F5C6E0"/>
    <w:multiLevelType w:val="singleLevel"/>
    <w:tmpl w:val="20F5C6E0"/>
    <w:lvl w:ilvl="0" w:tentative="0">
      <w:start w:val="6"/>
      <w:numFmt w:val="decimal"/>
      <w:suff w:val="space"/>
      <w:lvlText w:val="%1."/>
      <w:lvlJc w:val="left"/>
    </w:lvl>
  </w:abstractNum>
  <w:abstractNum w:abstractNumId="2">
    <w:nsid w:val="5A2DDA07"/>
    <w:multiLevelType w:val="singleLevel"/>
    <w:tmpl w:val="5A2DDA07"/>
    <w:lvl w:ilvl="0" w:tentative="0">
      <w:start w:val="1"/>
      <w:numFmt w:val="chineseCounting"/>
      <w:suff w:val="nothing"/>
      <w:lvlText w:val="（%1）"/>
      <w:lvlJc w:val="left"/>
      <w:pPr>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isplayHorizontalDrawingGridEvery w:val="2"/>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962D4F"/>
    <w:rsid w:val="00104DEB"/>
    <w:rsid w:val="00134E51"/>
    <w:rsid w:val="00172198"/>
    <w:rsid w:val="0017738C"/>
    <w:rsid w:val="001E3533"/>
    <w:rsid w:val="001F06F9"/>
    <w:rsid w:val="00212605"/>
    <w:rsid w:val="0022591B"/>
    <w:rsid w:val="002E4734"/>
    <w:rsid w:val="002F74A9"/>
    <w:rsid w:val="003056F2"/>
    <w:rsid w:val="003A5405"/>
    <w:rsid w:val="003C158F"/>
    <w:rsid w:val="003D2DFA"/>
    <w:rsid w:val="003F6499"/>
    <w:rsid w:val="0044776E"/>
    <w:rsid w:val="0045734F"/>
    <w:rsid w:val="0046159B"/>
    <w:rsid w:val="004940E7"/>
    <w:rsid w:val="004B4AE0"/>
    <w:rsid w:val="004C248C"/>
    <w:rsid w:val="004C793A"/>
    <w:rsid w:val="005522CE"/>
    <w:rsid w:val="00561F95"/>
    <w:rsid w:val="005704B7"/>
    <w:rsid w:val="005C375E"/>
    <w:rsid w:val="005C7CA3"/>
    <w:rsid w:val="005D0AD6"/>
    <w:rsid w:val="00605EC4"/>
    <w:rsid w:val="00613620"/>
    <w:rsid w:val="00641D5B"/>
    <w:rsid w:val="006748CE"/>
    <w:rsid w:val="006928D4"/>
    <w:rsid w:val="006A44E6"/>
    <w:rsid w:val="006C5D2D"/>
    <w:rsid w:val="007339AB"/>
    <w:rsid w:val="007534F6"/>
    <w:rsid w:val="00775F12"/>
    <w:rsid w:val="007836EE"/>
    <w:rsid w:val="00796EFC"/>
    <w:rsid w:val="007B1295"/>
    <w:rsid w:val="00812801"/>
    <w:rsid w:val="008256A8"/>
    <w:rsid w:val="00836744"/>
    <w:rsid w:val="00860196"/>
    <w:rsid w:val="00916BA3"/>
    <w:rsid w:val="00947FBE"/>
    <w:rsid w:val="00962D4F"/>
    <w:rsid w:val="0096313E"/>
    <w:rsid w:val="009A3351"/>
    <w:rsid w:val="00A02259"/>
    <w:rsid w:val="00A11554"/>
    <w:rsid w:val="00A4381C"/>
    <w:rsid w:val="00A460E0"/>
    <w:rsid w:val="00B24D4B"/>
    <w:rsid w:val="00B400BF"/>
    <w:rsid w:val="00B85FDA"/>
    <w:rsid w:val="00BA53DF"/>
    <w:rsid w:val="00BC6289"/>
    <w:rsid w:val="00BD0FC8"/>
    <w:rsid w:val="00BE3515"/>
    <w:rsid w:val="00C20F0C"/>
    <w:rsid w:val="00C35982"/>
    <w:rsid w:val="00C534FB"/>
    <w:rsid w:val="00CC53CA"/>
    <w:rsid w:val="00CF35B9"/>
    <w:rsid w:val="00D02BB7"/>
    <w:rsid w:val="00D46240"/>
    <w:rsid w:val="00D93786"/>
    <w:rsid w:val="00DD1DEC"/>
    <w:rsid w:val="00DF2314"/>
    <w:rsid w:val="00E56744"/>
    <w:rsid w:val="00E930CE"/>
    <w:rsid w:val="00F04FA4"/>
    <w:rsid w:val="00F10BC1"/>
    <w:rsid w:val="00F12FFC"/>
    <w:rsid w:val="00F2184D"/>
    <w:rsid w:val="00F239A3"/>
    <w:rsid w:val="00F615B3"/>
    <w:rsid w:val="00FA7EDA"/>
    <w:rsid w:val="045A2CEF"/>
    <w:rsid w:val="05350AAD"/>
    <w:rsid w:val="05F77753"/>
    <w:rsid w:val="08646022"/>
    <w:rsid w:val="11A322C2"/>
    <w:rsid w:val="123A66EE"/>
    <w:rsid w:val="12E2480F"/>
    <w:rsid w:val="15EC4007"/>
    <w:rsid w:val="160B4551"/>
    <w:rsid w:val="164200CB"/>
    <w:rsid w:val="16526560"/>
    <w:rsid w:val="16AA0340"/>
    <w:rsid w:val="18383533"/>
    <w:rsid w:val="1A4308FD"/>
    <w:rsid w:val="1E16199C"/>
    <w:rsid w:val="1FA0658E"/>
    <w:rsid w:val="1FB75274"/>
    <w:rsid w:val="23203542"/>
    <w:rsid w:val="24DE36B4"/>
    <w:rsid w:val="27325628"/>
    <w:rsid w:val="276D35D6"/>
    <w:rsid w:val="282E0EC2"/>
    <w:rsid w:val="28364474"/>
    <w:rsid w:val="28F60FCD"/>
    <w:rsid w:val="29194CBB"/>
    <w:rsid w:val="2ADF1268"/>
    <w:rsid w:val="2C2219FE"/>
    <w:rsid w:val="2CF870FB"/>
    <w:rsid w:val="310252F6"/>
    <w:rsid w:val="355377FC"/>
    <w:rsid w:val="38913B55"/>
    <w:rsid w:val="39C50A6C"/>
    <w:rsid w:val="39C93F2B"/>
    <w:rsid w:val="3AAF21A5"/>
    <w:rsid w:val="3AAF336A"/>
    <w:rsid w:val="3D381841"/>
    <w:rsid w:val="3ED11D8F"/>
    <w:rsid w:val="410F6C78"/>
    <w:rsid w:val="45975C84"/>
    <w:rsid w:val="45A6109A"/>
    <w:rsid w:val="47602508"/>
    <w:rsid w:val="4C644DF3"/>
    <w:rsid w:val="4C742085"/>
    <w:rsid w:val="4DF41330"/>
    <w:rsid w:val="526A5D92"/>
    <w:rsid w:val="53AE7073"/>
    <w:rsid w:val="56FE6494"/>
    <w:rsid w:val="57C922C0"/>
    <w:rsid w:val="589B6DDF"/>
    <w:rsid w:val="5A117971"/>
    <w:rsid w:val="5AA04F3B"/>
    <w:rsid w:val="60CD5D0D"/>
    <w:rsid w:val="633E37A9"/>
    <w:rsid w:val="63755DA4"/>
    <w:rsid w:val="65457C59"/>
    <w:rsid w:val="660A6122"/>
    <w:rsid w:val="66710901"/>
    <w:rsid w:val="66C209DC"/>
    <w:rsid w:val="6BA945C9"/>
    <w:rsid w:val="6CE53C7C"/>
    <w:rsid w:val="6D853C9A"/>
    <w:rsid w:val="6E2479D4"/>
    <w:rsid w:val="70EA42F6"/>
    <w:rsid w:val="713E488C"/>
    <w:rsid w:val="742B3D34"/>
    <w:rsid w:val="745968EE"/>
    <w:rsid w:val="77A47E96"/>
    <w:rsid w:val="782354BE"/>
    <w:rsid w:val="7BE60E4D"/>
    <w:rsid w:val="7C395178"/>
    <w:rsid w:val="7FA64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85"/>
    <w:unhideWhenUsed/>
    <w:uiPriority w:val="99"/>
    <w:pPr>
      <w:jc w:val="left"/>
    </w:pPr>
  </w:style>
  <w:style w:type="paragraph" w:styleId="4">
    <w:name w:val="Body Text"/>
    <w:basedOn w:val="1"/>
    <w:link w:val="81"/>
    <w:unhideWhenUsed/>
    <w:qFormat/>
    <w:uiPriority w:val="99"/>
    <w:pPr>
      <w:spacing w:after="120"/>
    </w:pPr>
  </w:style>
  <w:style w:type="paragraph" w:styleId="5">
    <w:name w:val="Date"/>
    <w:basedOn w:val="1"/>
    <w:next w:val="1"/>
    <w:qFormat/>
    <w:uiPriority w:val="0"/>
    <w:pPr>
      <w:ind w:left="100" w:leftChars="2500"/>
    </w:pPr>
    <w:rPr>
      <w:szCs w:val="24"/>
    </w:rPr>
  </w:style>
  <w:style w:type="paragraph" w:styleId="6">
    <w:name w:val="Balloon Text"/>
    <w:basedOn w:val="1"/>
    <w:link w:val="84"/>
    <w:semiHidden/>
    <w:unhideWhenUsed/>
    <w:qFormat/>
    <w:uiPriority w:val="99"/>
    <w:rPr>
      <w:sz w:val="18"/>
      <w:szCs w:val="18"/>
    </w:rPr>
  </w:style>
  <w:style w:type="paragraph" w:styleId="7">
    <w:name w:val="footer"/>
    <w:basedOn w:val="1"/>
    <w:link w:val="80"/>
    <w:unhideWhenUsed/>
    <w:qFormat/>
    <w:uiPriority w:val="99"/>
    <w:pPr>
      <w:tabs>
        <w:tab w:val="center" w:pos="4153"/>
        <w:tab w:val="right" w:pos="8306"/>
      </w:tabs>
      <w:snapToGrid w:val="0"/>
      <w:jc w:val="left"/>
    </w:pPr>
    <w:rPr>
      <w:sz w:val="18"/>
      <w:szCs w:val="18"/>
    </w:rPr>
  </w:style>
  <w:style w:type="paragraph" w:styleId="8">
    <w:name w:val="header"/>
    <w:basedOn w:val="1"/>
    <w:link w:val="7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textAlignment w:val="auto"/>
    </w:pPr>
    <w:rPr>
      <w:rFonts w:ascii="宋体" w:hAnsi="宋体" w:cs="宋体"/>
      <w:kern w:val="0"/>
      <w:sz w:val="24"/>
      <w:szCs w:val="24"/>
    </w:rPr>
  </w:style>
  <w:style w:type="paragraph" w:styleId="10">
    <w:name w:val="Body Text First Indent"/>
    <w:basedOn w:val="4"/>
    <w:semiHidden/>
    <w:unhideWhenUsed/>
    <w:qFormat/>
    <w:uiPriority w:val="99"/>
    <w:pPr>
      <w:ind w:firstLine="420" w:firstLineChars="100"/>
    </w:pPr>
  </w:style>
  <w:style w:type="character" w:styleId="13">
    <w:name w:val="Strong"/>
    <w:qFormat/>
    <w:uiPriority w:val="0"/>
    <w:rPr>
      <w:rFonts w:ascii="Times New Roman" w:hAnsi="Times New Roman" w:eastAsia="宋体"/>
      <w:b/>
    </w:rPr>
  </w:style>
  <w:style w:type="character" w:styleId="14">
    <w:name w:val="FollowedHyperlink"/>
    <w:qFormat/>
    <w:uiPriority w:val="0"/>
    <w:rPr>
      <w:rFonts w:ascii="Times New Roman" w:hAnsi="Times New Roman" w:eastAsia="宋体"/>
      <w:color w:val="800080"/>
    </w:rPr>
  </w:style>
  <w:style w:type="character" w:styleId="15">
    <w:name w:val="Emphasis"/>
    <w:qFormat/>
    <w:uiPriority w:val="0"/>
    <w:rPr>
      <w:rFonts w:ascii="Times New Roman" w:hAnsi="Times New Roman" w:eastAsia="宋体"/>
      <w:b/>
    </w:rPr>
  </w:style>
  <w:style w:type="character" w:styleId="16">
    <w:name w:val="Hyperlink"/>
    <w:qFormat/>
    <w:uiPriority w:val="0"/>
    <w:rPr>
      <w:rFonts w:ascii="Times New Roman" w:hAnsi="Times New Roman" w:eastAsia="宋体"/>
      <w:color w:val="0000FF"/>
      <w:u w:val="single"/>
    </w:rPr>
  </w:style>
  <w:style w:type="character" w:styleId="17">
    <w:name w:val="annotation reference"/>
    <w:basedOn w:val="12"/>
    <w:semiHidden/>
    <w:unhideWhenUsed/>
    <w:qFormat/>
    <w:uiPriority w:val="99"/>
    <w:rPr>
      <w:sz w:val="21"/>
      <w:szCs w:val="21"/>
    </w:rPr>
  </w:style>
  <w:style w:type="paragraph" w:customStyle="1" w:styleId="18">
    <w:name w:val="NormalIndent"/>
    <w:basedOn w:val="1"/>
    <w:link w:val="24"/>
    <w:qFormat/>
    <w:uiPriority w:val="0"/>
    <w:pPr>
      <w:ind w:firstLine="420"/>
    </w:pPr>
  </w:style>
  <w:style w:type="paragraph" w:customStyle="1" w:styleId="19">
    <w:name w:val="Heading1"/>
    <w:basedOn w:val="1"/>
    <w:next w:val="1"/>
    <w:link w:val="25"/>
    <w:qFormat/>
    <w:uiPriority w:val="0"/>
    <w:pPr>
      <w:keepNext/>
      <w:keepLines/>
      <w:spacing w:before="340" w:after="330" w:line="578" w:lineRule="atLeast"/>
    </w:pPr>
    <w:rPr>
      <w:b/>
      <w:bCs/>
      <w:kern w:val="44"/>
      <w:sz w:val="44"/>
      <w:szCs w:val="44"/>
    </w:rPr>
  </w:style>
  <w:style w:type="paragraph" w:customStyle="1" w:styleId="20">
    <w:name w:val="Heading2"/>
    <w:basedOn w:val="1"/>
    <w:next w:val="18"/>
    <w:qFormat/>
    <w:uiPriority w:val="0"/>
    <w:pPr>
      <w:keepNext/>
      <w:keepLines/>
      <w:spacing w:before="120" w:after="120"/>
      <w:jc w:val="center"/>
    </w:pPr>
    <w:rPr>
      <w:rFonts w:ascii="Arial" w:hAnsi="Arial" w:eastAsia="黑体"/>
      <w:b/>
      <w:sz w:val="28"/>
      <w:szCs w:val="28"/>
    </w:rPr>
  </w:style>
  <w:style w:type="paragraph" w:customStyle="1" w:styleId="21">
    <w:name w:val="Heading3"/>
    <w:basedOn w:val="1"/>
    <w:next w:val="18"/>
    <w:qFormat/>
    <w:uiPriority w:val="0"/>
    <w:pPr>
      <w:keepNext/>
      <w:keepLines/>
      <w:spacing w:before="120" w:after="120"/>
    </w:pPr>
    <w:rPr>
      <w:rFonts w:eastAsia="黑体"/>
      <w:b/>
      <w:sz w:val="32"/>
    </w:rPr>
  </w:style>
  <w:style w:type="character" w:customStyle="1" w:styleId="22">
    <w:name w:val="NormalCharacter"/>
    <w:qFormat/>
    <w:uiPriority w:val="0"/>
    <w:rPr>
      <w:rFonts w:ascii="Times New Roman" w:hAnsi="Times New Roman" w:eastAsia="宋体"/>
    </w:rPr>
  </w:style>
  <w:style w:type="table" w:customStyle="1" w:styleId="23">
    <w:name w:val="TableNormal"/>
    <w:qFormat/>
    <w:uiPriority w:val="0"/>
    <w:tblPr>
      <w:tblLayout w:type="fixed"/>
      <w:tblCellMar>
        <w:top w:w="0" w:type="dxa"/>
        <w:left w:w="0" w:type="dxa"/>
        <w:bottom w:w="0" w:type="dxa"/>
        <w:right w:w="0" w:type="dxa"/>
      </w:tblCellMar>
    </w:tblPr>
  </w:style>
  <w:style w:type="character" w:customStyle="1" w:styleId="24">
    <w:name w:val="UserStyle_0"/>
    <w:link w:val="18"/>
    <w:qFormat/>
    <w:uiPriority w:val="0"/>
    <w:rPr>
      <w:rFonts w:ascii="Times New Roman" w:hAnsi="Times New Roman" w:eastAsia="宋体"/>
      <w:kern w:val="2"/>
      <w:sz w:val="21"/>
      <w:lang w:val="en-US" w:eastAsia="zh-CN" w:bidi="ar-SA"/>
    </w:rPr>
  </w:style>
  <w:style w:type="character" w:customStyle="1" w:styleId="25">
    <w:name w:val="UserStyle_1"/>
    <w:link w:val="19"/>
    <w:qFormat/>
    <w:uiPriority w:val="0"/>
    <w:rPr>
      <w:rFonts w:ascii="Times New Roman" w:hAnsi="Times New Roman" w:eastAsia="宋体" w:cs="Times New Roman"/>
      <w:b/>
      <w:bCs/>
      <w:kern w:val="44"/>
      <w:sz w:val="44"/>
      <w:szCs w:val="44"/>
      <w:lang w:val="en-US" w:eastAsia="zh-CN" w:bidi="ar-SA"/>
    </w:rPr>
  </w:style>
  <w:style w:type="paragraph" w:customStyle="1" w:styleId="26">
    <w:name w:val="NavPane"/>
    <w:basedOn w:val="1"/>
    <w:qFormat/>
    <w:uiPriority w:val="0"/>
    <w:pPr>
      <w:shd w:val="clear" w:color="auto" w:fill="000080"/>
    </w:pPr>
  </w:style>
  <w:style w:type="paragraph" w:customStyle="1" w:styleId="27">
    <w:name w:val="AnnotationText"/>
    <w:basedOn w:val="1"/>
    <w:link w:val="28"/>
    <w:qFormat/>
    <w:uiPriority w:val="0"/>
    <w:pPr>
      <w:jc w:val="left"/>
    </w:pPr>
  </w:style>
  <w:style w:type="character" w:customStyle="1" w:styleId="28">
    <w:name w:val="UserStyle_2"/>
    <w:link w:val="27"/>
    <w:qFormat/>
    <w:uiPriority w:val="0"/>
    <w:rPr>
      <w:rFonts w:ascii="Times New Roman" w:hAnsi="Times New Roman" w:eastAsia="宋体"/>
      <w:kern w:val="2"/>
      <w:sz w:val="21"/>
    </w:rPr>
  </w:style>
  <w:style w:type="paragraph" w:customStyle="1" w:styleId="29">
    <w:name w:val="BodyText"/>
    <w:basedOn w:val="1"/>
    <w:link w:val="30"/>
    <w:qFormat/>
    <w:uiPriority w:val="0"/>
    <w:pPr>
      <w:spacing w:after="120"/>
    </w:pPr>
  </w:style>
  <w:style w:type="character" w:customStyle="1" w:styleId="30">
    <w:name w:val="UserStyle_3"/>
    <w:link w:val="29"/>
    <w:qFormat/>
    <w:uiPriority w:val="0"/>
    <w:rPr>
      <w:kern w:val="2"/>
      <w:sz w:val="21"/>
    </w:rPr>
  </w:style>
  <w:style w:type="paragraph" w:customStyle="1" w:styleId="31">
    <w:name w:val="BodyTextIndent"/>
    <w:basedOn w:val="1"/>
    <w:link w:val="32"/>
    <w:qFormat/>
    <w:uiPriority w:val="0"/>
    <w:pPr>
      <w:spacing w:after="120"/>
      <w:ind w:left="420" w:leftChars="200"/>
    </w:pPr>
  </w:style>
  <w:style w:type="character" w:customStyle="1" w:styleId="32">
    <w:name w:val="UserStyle_4"/>
    <w:link w:val="31"/>
    <w:qFormat/>
    <w:uiPriority w:val="0"/>
    <w:rPr>
      <w:rFonts w:ascii="Times New Roman" w:hAnsi="Times New Roman" w:eastAsia="宋体"/>
      <w:kern w:val="2"/>
      <w:sz w:val="21"/>
    </w:rPr>
  </w:style>
  <w:style w:type="paragraph" w:customStyle="1" w:styleId="33">
    <w:name w:val="PlainText"/>
    <w:basedOn w:val="1"/>
    <w:link w:val="34"/>
    <w:qFormat/>
    <w:uiPriority w:val="0"/>
    <w:pPr>
      <w:jc w:val="left"/>
    </w:pPr>
    <w:rPr>
      <w:rFonts w:ascii="宋体" w:hAnsi="Courier New"/>
      <w:kern w:val="0"/>
    </w:rPr>
  </w:style>
  <w:style w:type="character" w:customStyle="1" w:styleId="34">
    <w:name w:val="UserStyle_5"/>
    <w:link w:val="33"/>
    <w:qFormat/>
    <w:uiPriority w:val="0"/>
    <w:rPr>
      <w:rFonts w:ascii="宋体" w:hAnsi="Courier New" w:eastAsia="宋体"/>
      <w:sz w:val="21"/>
    </w:rPr>
  </w:style>
  <w:style w:type="paragraph" w:customStyle="1" w:styleId="35">
    <w:name w:val="BodyTextIndent2"/>
    <w:basedOn w:val="1"/>
    <w:qFormat/>
    <w:uiPriority w:val="0"/>
    <w:pPr>
      <w:spacing w:after="120" w:line="480" w:lineRule="auto"/>
      <w:ind w:left="420" w:leftChars="200"/>
    </w:pPr>
  </w:style>
  <w:style w:type="paragraph" w:customStyle="1" w:styleId="36">
    <w:name w:val="Acetate"/>
    <w:basedOn w:val="1"/>
    <w:qFormat/>
    <w:uiPriority w:val="0"/>
    <w:rPr>
      <w:sz w:val="18"/>
      <w:szCs w:val="18"/>
    </w:rPr>
  </w:style>
  <w:style w:type="paragraph" w:customStyle="1" w:styleId="37">
    <w:name w:val="Footer"/>
    <w:basedOn w:val="1"/>
    <w:link w:val="38"/>
    <w:qFormat/>
    <w:uiPriority w:val="0"/>
    <w:pPr>
      <w:tabs>
        <w:tab w:val="center" w:pos="4153"/>
        <w:tab w:val="right" w:pos="8306"/>
      </w:tabs>
      <w:snapToGrid w:val="0"/>
      <w:jc w:val="left"/>
    </w:pPr>
    <w:rPr>
      <w:sz w:val="18"/>
    </w:rPr>
  </w:style>
  <w:style w:type="character" w:customStyle="1" w:styleId="38">
    <w:name w:val="UserStyle_6"/>
    <w:link w:val="37"/>
    <w:qFormat/>
    <w:uiPriority w:val="0"/>
    <w:rPr>
      <w:rFonts w:ascii="Times New Roman" w:hAnsi="Times New Roman" w:eastAsia="宋体"/>
      <w:kern w:val="2"/>
      <w:sz w:val="18"/>
      <w:lang w:val="en-US" w:eastAsia="zh-CN" w:bidi="ar-SA"/>
    </w:rPr>
  </w:style>
  <w:style w:type="paragraph" w:customStyle="1" w:styleId="39">
    <w:name w:val="Header"/>
    <w:basedOn w:val="1"/>
    <w:link w:val="40"/>
    <w:qFormat/>
    <w:uiPriority w:val="0"/>
    <w:pPr>
      <w:pBdr>
        <w:bottom w:val="single" w:color="000000" w:sz="6" w:space="1"/>
      </w:pBdr>
      <w:tabs>
        <w:tab w:val="center" w:pos="4153"/>
        <w:tab w:val="right" w:pos="8306"/>
      </w:tabs>
      <w:snapToGrid w:val="0"/>
      <w:jc w:val="center"/>
    </w:pPr>
    <w:rPr>
      <w:sz w:val="18"/>
    </w:rPr>
  </w:style>
  <w:style w:type="character" w:customStyle="1" w:styleId="40">
    <w:name w:val="UserStyle_7"/>
    <w:link w:val="39"/>
    <w:qFormat/>
    <w:uiPriority w:val="0"/>
    <w:rPr>
      <w:rFonts w:ascii="Times New Roman" w:hAnsi="Times New Roman" w:eastAsia="宋体"/>
      <w:kern w:val="2"/>
      <w:sz w:val="18"/>
      <w:lang w:val="en-US" w:eastAsia="zh-CN" w:bidi="ar-SA"/>
    </w:rPr>
  </w:style>
  <w:style w:type="paragraph" w:customStyle="1" w:styleId="41">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42">
    <w:name w:val="AnnotationSubject"/>
    <w:basedOn w:val="27"/>
    <w:next w:val="27"/>
    <w:link w:val="43"/>
    <w:qFormat/>
    <w:uiPriority w:val="0"/>
    <w:rPr>
      <w:b/>
      <w:bCs/>
    </w:rPr>
  </w:style>
  <w:style w:type="character" w:customStyle="1" w:styleId="43">
    <w:name w:val="UserStyle_8"/>
    <w:link w:val="42"/>
    <w:qFormat/>
    <w:uiPriority w:val="0"/>
    <w:rPr>
      <w:rFonts w:ascii="Times New Roman" w:hAnsi="Times New Roman" w:eastAsia="宋体" w:cs="Times New Roman"/>
      <w:b/>
      <w:bCs/>
      <w:kern w:val="2"/>
      <w:sz w:val="21"/>
    </w:rPr>
  </w:style>
  <w:style w:type="paragraph" w:customStyle="1" w:styleId="44">
    <w:name w:val="BodyText1I"/>
    <w:basedOn w:val="29"/>
    <w:link w:val="45"/>
    <w:qFormat/>
    <w:uiPriority w:val="0"/>
    <w:pPr>
      <w:ind w:firstLine="420" w:firstLineChars="100"/>
    </w:pPr>
    <w:rPr>
      <w:kern w:val="0"/>
      <w:sz w:val="20"/>
      <w:szCs w:val="24"/>
    </w:rPr>
  </w:style>
  <w:style w:type="character" w:customStyle="1" w:styleId="45">
    <w:name w:val="UserStyle_9"/>
    <w:link w:val="44"/>
    <w:qFormat/>
    <w:uiPriority w:val="0"/>
    <w:rPr>
      <w:szCs w:val="24"/>
    </w:rPr>
  </w:style>
  <w:style w:type="table" w:customStyle="1" w:styleId="46">
    <w:name w:val="TableGrid"/>
    <w:basedOn w:val="23"/>
    <w:qFormat/>
    <w:uiPriority w:val="0"/>
    <w:tblPr>
      <w:tblLayout w:type="fixed"/>
      <w:tblCellMar>
        <w:top w:w="0" w:type="dxa"/>
        <w:left w:w="0" w:type="dxa"/>
        <w:bottom w:w="0" w:type="dxa"/>
        <w:right w:w="0" w:type="dxa"/>
      </w:tblCellMar>
    </w:tblPr>
  </w:style>
  <w:style w:type="character" w:customStyle="1" w:styleId="47">
    <w:name w:val="PageNumber"/>
    <w:qFormat/>
    <w:uiPriority w:val="0"/>
    <w:rPr>
      <w:rFonts w:ascii="Times New Roman" w:hAnsi="Times New Roman" w:eastAsia="宋体"/>
    </w:rPr>
  </w:style>
  <w:style w:type="character" w:customStyle="1" w:styleId="48">
    <w:name w:val="HtmlDfn"/>
    <w:qFormat/>
    <w:uiPriority w:val="0"/>
    <w:rPr>
      <w:rFonts w:ascii="Times New Roman" w:hAnsi="Times New Roman" w:eastAsia="宋体"/>
    </w:rPr>
  </w:style>
  <w:style w:type="character" w:customStyle="1" w:styleId="49">
    <w:name w:val="HtmlTt"/>
    <w:qFormat/>
    <w:uiPriority w:val="0"/>
    <w:rPr>
      <w:rFonts w:ascii="monospace" w:hAnsi="monospace" w:eastAsia="monospace"/>
      <w:sz w:val="20"/>
    </w:rPr>
  </w:style>
  <w:style w:type="character" w:customStyle="1" w:styleId="50">
    <w:name w:val="HtmlAcronym"/>
    <w:qFormat/>
    <w:uiPriority w:val="0"/>
  </w:style>
  <w:style w:type="character" w:customStyle="1" w:styleId="51">
    <w:name w:val="HtmlVar"/>
    <w:qFormat/>
    <w:uiPriority w:val="0"/>
    <w:rPr>
      <w:rFonts w:ascii="Times New Roman" w:hAnsi="Times New Roman" w:eastAsia="宋体"/>
    </w:rPr>
  </w:style>
  <w:style w:type="character" w:customStyle="1" w:styleId="52">
    <w:name w:val="HtmlCode"/>
    <w:qFormat/>
    <w:uiPriority w:val="0"/>
    <w:rPr>
      <w:rFonts w:ascii="monospace" w:hAnsi="monospace" w:eastAsia="monospace"/>
      <w:sz w:val="20"/>
    </w:rPr>
  </w:style>
  <w:style w:type="character" w:customStyle="1" w:styleId="53">
    <w:name w:val="AnnotationReference"/>
    <w:qFormat/>
    <w:uiPriority w:val="0"/>
    <w:rPr>
      <w:rFonts w:ascii="Times New Roman" w:hAnsi="Times New Roman" w:eastAsia="宋体"/>
      <w:sz w:val="21"/>
      <w:szCs w:val="21"/>
    </w:rPr>
  </w:style>
  <w:style w:type="character" w:customStyle="1" w:styleId="54">
    <w:name w:val="HtmlCite"/>
    <w:qFormat/>
    <w:uiPriority w:val="0"/>
    <w:rPr>
      <w:rFonts w:ascii="Times New Roman" w:hAnsi="Times New Roman" w:eastAsia="宋体"/>
    </w:rPr>
  </w:style>
  <w:style w:type="character" w:customStyle="1" w:styleId="55">
    <w:name w:val="HtmlKbd"/>
    <w:qFormat/>
    <w:uiPriority w:val="0"/>
    <w:rPr>
      <w:rFonts w:ascii="monospace" w:hAnsi="monospace" w:eastAsia="monospace"/>
      <w:sz w:val="20"/>
    </w:rPr>
  </w:style>
  <w:style w:type="character" w:customStyle="1" w:styleId="56">
    <w:name w:val="htmlSamp"/>
    <w:qFormat/>
    <w:uiPriority w:val="0"/>
    <w:rPr>
      <w:rFonts w:ascii="monospace" w:hAnsi="monospace" w:eastAsia="monospace"/>
      <w:bdr w:val="single" w:color="000000" w:sz="152" w:space="0"/>
    </w:rPr>
  </w:style>
  <w:style w:type="character" w:customStyle="1" w:styleId="57">
    <w:name w:val="UserStyle_10"/>
    <w:qFormat/>
    <w:uiPriority w:val="0"/>
    <w:rPr>
      <w:rFonts w:ascii="Times New Roman" w:hAnsi="Times New Roman" w:eastAsia="宋体"/>
      <w:color w:val="000000"/>
      <w:sz w:val="24"/>
      <w:szCs w:val="24"/>
    </w:rPr>
  </w:style>
  <w:style w:type="character" w:customStyle="1" w:styleId="58">
    <w:name w:val="UserStyle_11"/>
    <w:qFormat/>
    <w:uiPriority w:val="0"/>
    <w:rPr>
      <w:rFonts w:ascii="宋体" w:hAnsi="宋体" w:eastAsia="宋体"/>
      <w:color w:val="000000"/>
      <w:sz w:val="24"/>
      <w:szCs w:val="24"/>
    </w:rPr>
  </w:style>
  <w:style w:type="character" w:customStyle="1" w:styleId="59">
    <w:name w:val="UserStyle_12"/>
    <w:qFormat/>
    <w:uiPriority w:val="0"/>
    <w:rPr>
      <w:i/>
      <w:iCs/>
    </w:rPr>
  </w:style>
  <w:style w:type="character" w:customStyle="1" w:styleId="60">
    <w:name w:val="UserStyle_13"/>
    <w:qFormat/>
    <w:uiPriority w:val="0"/>
    <w:rPr>
      <w:rFonts w:ascii="Times New Roman" w:hAnsi="Times New Roman" w:eastAsia="宋体"/>
      <w:b/>
      <w:spacing w:val="-2"/>
      <w:sz w:val="24"/>
      <w:lang w:val="en-US" w:eastAsia="zh-CN" w:bidi="ar-SA"/>
    </w:rPr>
  </w:style>
  <w:style w:type="character" w:customStyle="1" w:styleId="61">
    <w:name w:val="UserStyle_14"/>
    <w:qFormat/>
    <w:uiPriority w:val="0"/>
    <w:rPr>
      <w:rFonts w:ascii="Times New Roman" w:hAnsi="Times New Roman" w:eastAsia="宋体"/>
      <w:color w:val="000000"/>
      <w:sz w:val="24"/>
      <w:szCs w:val="24"/>
    </w:rPr>
  </w:style>
  <w:style w:type="paragraph" w:customStyle="1" w:styleId="62">
    <w:name w:val="UserStyle_15"/>
    <w:basedOn w:val="1"/>
    <w:qFormat/>
    <w:uiPriority w:val="0"/>
    <w:pPr>
      <w:spacing w:before="100" w:beforeAutospacing="1" w:after="100" w:afterAutospacing="1"/>
      <w:jc w:val="left"/>
    </w:pPr>
    <w:rPr>
      <w:rFonts w:ascii="宋体" w:hAnsi="宋体"/>
      <w:kern w:val="0"/>
      <w:sz w:val="24"/>
      <w:szCs w:val="24"/>
    </w:rPr>
  </w:style>
  <w:style w:type="paragraph" w:customStyle="1" w:styleId="63">
    <w:name w:val="UserStyle_16"/>
    <w:basedOn w:val="1"/>
    <w:qFormat/>
    <w:uiPriority w:val="0"/>
    <w:pPr>
      <w:spacing w:line="360" w:lineRule="auto"/>
      <w:ind w:left="360" w:hanging="360" w:hangingChars="150"/>
    </w:pPr>
    <w:rPr>
      <w:sz w:val="24"/>
      <w:szCs w:val="24"/>
    </w:rPr>
  </w:style>
  <w:style w:type="paragraph" w:customStyle="1" w:styleId="64">
    <w:name w:val="UserStyle_17"/>
    <w:basedOn w:val="1"/>
    <w:qFormat/>
    <w:uiPriority w:val="0"/>
  </w:style>
  <w:style w:type="paragraph" w:customStyle="1" w:styleId="65">
    <w:name w:val="UserStyle_18"/>
    <w:qFormat/>
    <w:uiPriority w:val="0"/>
    <w:pPr>
      <w:textAlignment w:val="baseline"/>
    </w:pPr>
    <w:rPr>
      <w:rFonts w:ascii="Times New Roman" w:hAnsi="Times New Roman" w:eastAsia="宋体" w:cs="Times New Roman"/>
      <w:szCs w:val="21"/>
      <w:lang w:val="en-US" w:eastAsia="zh-CN" w:bidi="ar-SA"/>
    </w:rPr>
  </w:style>
  <w:style w:type="paragraph" w:customStyle="1" w:styleId="66">
    <w:name w:val="UserStyle_19"/>
    <w:qFormat/>
    <w:uiPriority w:val="0"/>
    <w:pPr>
      <w:tabs>
        <w:tab w:val="center" w:pos="4201"/>
        <w:tab w:val="right" w:leader="dot" w:pos="9298"/>
      </w:tabs>
      <w:ind w:firstLine="420" w:firstLineChars="200"/>
      <w:jc w:val="both"/>
      <w:textAlignment w:val="baseline"/>
    </w:pPr>
    <w:rPr>
      <w:rFonts w:ascii="宋体" w:hAnsi="Times New Roman" w:eastAsia="宋体" w:cs="Times New Roman"/>
      <w:sz w:val="21"/>
      <w:szCs w:val="21"/>
      <w:lang w:val="en-US" w:eastAsia="zh-CN" w:bidi="ar-SA"/>
    </w:rPr>
  </w:style>
  <w:style w:type="paragraph" w:customStyle="1" w:styleId="67">
    <w:name w:val="UserStyle_20"/>
    <w:basedOn w:val="1"/>
    <w:qFormat/>
    <w:uiPriority w:val="0"/>
  </w:style>
  <w:style w:type="paragraph" w:customStyle="1" w:styleId="68">
    <w:name w:val="UserStyle_21"/>
    <w:basedOn w:val="26"/>
    <w:qFormat/>
    <w:uiPriority w:val="0"/>
    <w:rPr>
      <w:rFonts w:ascii="Tahoma" w:hAnsi="Tahoma"/>
      <w:sz w:val="24"/>
      <w:szCs w:val="24"/>
    </w:rPr>
  </w:style>
  <w:style w:type="paragraph" w:customStyle="1" w:styleId="69">
    <w:name w:val="UserStyle_22"/>
    <w:basedOn w:val="1"/>
    <w:qFormat/>
    <w:uiPriority w:val="0"/>
    <w:rPr>
      <w:szCs w:val="24"/>
    </w:rPr>
  </w:style>
  <w:style w:type="paragraph" w:customStyle="1" w:styleId="70">
    <w:name w:val="UserStyle_23"/>
    <w:basedOn w:val="1"/>
    <w:next w:val="1"/>
    <w:qFormat/>
    <w:uiPriority w:val="0"/>
    <w:pPr>
      <w:jc w:val="left"/>
    </w:pPr>
    <w:rPr>
      <w:rFonts w:ascii="宋体"/>
      <w:i/>
      <w:iCs/>
      <w:kern w:val="0"/>
      <w:sz w:val="24"/>
      <w:szCs w:val="24"/>
    </w:rPr>
  </w:style>
  <w:style w:type="paragraph" w:customStyle="1" w:styleId="71">
    <w:name w:val="UserStyle_24"/>
    <w:basedOn w:val="1"/>
    <w:qFormat/>
    <w:uiPriority w:val="0"/>
    <w:pPr>
      <w:ind w:left="907" w:firstLine="641"/>
      <w:jc w:val="left"/>
    </w:pPr>
    <w:rPr>
      <w:rFonts w:ascii="宋体" w:hAnsi="宋体"/>
      <w:kern w:val="0"/>
      <w:sz w:val="22"/>
      <w:szCs w:val="22"/>
      <w:lang w:val="zh-CN" w:bidi="zh-CN"/>
    </w:rPr>
  </w:style>
  <w:style w:type="character" w:customStyle="1" w:styleId="72">
    <w:name w:val="UserStyle_25"/>
    <w:qFormat/>
    <w:uiPriority w:val="0"/>
    <w:rPr>
      <w:sz w:val="18"/>
      <w:szCs w:val="18"/>
    </w:rPr>
  </w:style>
  <w:style w:type="character" w:customStyle="1" w:styleId="73">
    <w:name w:val="UserStyle_26"/>
    <w:qFormat/>
    <w:uiPriority w:val="0"/>
    <w:rPr>
      <w:sz w:val="18"/>
      <w:szCs w:val="18"/>
    </w:rPr>
  </w:style>
  <w:style w:type="table" w:customStyle="1" w:styleId="74">
    <w:name w:val="UserStyle_27"/>
    <w:basedOn w:val="23"/>
    <w:qFormat/>
    <w:uiPriority w:val="0"/>
    <w:tblPr>
      <w:tblLayout w:type="fixed"/>
      <w:tblCellMar>
        <w:top w:w="0" w:type="dxa"/>
        <w:left w:w="0" w:type="dxa"/>
        <w:bottom w:w="0" w:type="dxa"/>
        <w:right w:w="0" w:type="dxa"/>
      </w:tblCellMar>
    </w:tblPr>
  </w:style>
  <w:style w:type="character" w:customStyle="1" w:styleId="75">
    <w:name w:val="UserStyle_28"/>
    <w:qFormat/>
    <w:uiPriority w:val="0"/>
    <w:rPr>
      <w:kern w:val="2"/>
      <w:sz w:val="21"/>
    </w:rPr>
  </w:style>
  <w:style w:type="character" w:customStyle="1" w:styleId="76">
    <w:name w:val="UserStyle_29"/>
    <w:semiHidden/>
    <w:qFormat/>
    <w:uiPriority w:val="0"/>
    <w:rPr>
      <w:kern w:val="2"/>
      <w:sz w:val="21"/>
      <w:szCs w:val="24"/>
      <w:lang w:val="en-US" w:eastAsia="zh-CN" w:bidi="ar-SA"/>
    </w:rPr>
  </w:style>
  <w:style w:type="character" w:customStyle="1" w:styleId="77">
    <w:name w:val="UserStyle_30"/>
    <w:link w:val="78"/>
    <w:qFormat/>
    <w:locked/>
    <w:uiPriority w:val="0"/>
    <w:rPr>
      <w:rFonts w:ascii="仿宋_GB2312" w:hAnsi="宋体" w:eastAsia="仿宋_GB2312"/>
      <w:kern w:val="2"/>
      <w:sz w:val="31"/>
      <w:szCs w:val="28"/>
    </w:rPr>
  </w:style>
  <w:style w:type="paragraph" w:customStyle="1" w:styleId="78">
    <w:name w:val="UserStyle_31"/>
    <w:basedOn w:val="1"/>
    <w:link w:val="77"/>
    <w:qFormat/>
    <w:uiPriority w:val="0"/>
    <w:pPr>
      <w:spacing w:line="600" w:lineRule="exact"/>
      <w:ind w:firstLine="639" w:firstLineChars="206"/>
    </w:pPr>
    <w:rPr>
      <w:rFonts w:ascii="仿宋_GB2312" w:hAnsi="宋体" w:eastAsia="仿宋_GB2312"/>
      <w:sz w:val="31"/>
      <w:szCs w:val="28"/>
    </w:rPr>
  </w:style>
  <w:style w:type="character" w:customStyle="1" w:styleId="79">
    <w:name w:val="页眉 Char"/>
    <w:basedOn w:val="12"/>
    <w:link w:val="8"/>
    <w:semiHidden/>
    <w:qFormat/>
    <w:uiPriority w:val="99"/>
    <w:rPr>
      <w:kern w:val="2"/>
      <w:sz w:val="18"/>
      <w:szCs w:val="18"/>
    </w:rPr>
  </w:style>
  <w:style w:type="character" w:customStyle="1" w:styleId="80">
    <w:name w:val="页脚 Char"/>
    <w:basedOn w:val="12"/>
    <w:link w:val="7"/>
    <w:qFormat/>
    <w:uiPriority w:val="99"/>
    <w:rPr>
      <w:kern w:val="2"/>
      <w:sz w:val="18"/>
      <w:szCs w:val="18"/>
    </w:rPr>
  </w:style>
  <w:style w:type="character" w:customStyle="1" w:styleId="81">
    <w:name w:val="正文文本 Char"/>
    <w:basedOn w:val="12"/>
    <w:link w:val="4"/>
    <w:qFormat/>
    <w:uiPriority w:val="99"/>
    <w:rPr>
      <w:kern w:val="2"/>
      <w:sz w:val="21"/>
    </w:rPr>
  </w:style>
  <w:style w:type="paragraph" w:customStyle="1" w:styleId="82">
    <w:name w:val="正文1"/>
    <w:basedOn w:val="1"/>
    <w:qFormat/>
    <w:uiPriority w:val="0"/>
    <w:pPr>
      <w:spacing w:line="540" w:lineRule="exact"/>
      <w:ind w:firstLine="200" w:firstLineChars="200"/>
    </w:pPr>
    <w:rPr>
      <w:rFonts w:ascii="仿宋_GB2312" w:hAnsi="仿宋_GB2312"/>
      <w:sz w:val="28"/>
    </w:rPr>
  </w:style>
  <w:style w:type="paragraph" w:customStyle="1" w:styleId="83">
    <w:name w:val="列出段落1"/>
    <w:basedOn w:val="1"/>
    <w:qFormat/>
    <w:uiPriority w:val="1"/>
    <w:pPr>
      <w:autoSpaceDE w:val="0"/>
      <w:autoSpaceDN w:val="0"/>
      <w:ind w:left="907" w:firstLine="641"/>
      <w:jc w:val="left"/>
    </w:pPr>
    <w:rPr>
      <w:rFonts w:ascii="宋体" w:hAnsi="宋体" w:cs="宋体"/>
      <w:kern w:val="0"/>
      <w:sz w:val="22"/>
      <w:szCs w:val="22"/>
      <w:lang w:val="zh-CN" w:bidi="zh-CN"/>
    </w:rPr>
  </w:style>
  <w:style w:type="character" w:customStyle="1" w:styleId="84">
    <w:name w:val="批注框文本 Char"/>
    <w:basedOn w:val="12"/>
    <w:link w:val="6"/>
    <w:semiHidden/>
    <w:qFormat/>
    <w:uiPriority w:val="99"/>
    <w:rPr>
      <w:kern w:val="2"/>
      <w:sz w:val="18"/>
      <w:szCs w:val="18"/>
    </w:rPr>
  </w:style>
  <w:style w:type="character" w:customStyle="1" w:styleId="85">
    <w:name w:val="批注文字 Char"/>
    <w:basedOn w:val="12"/>
    <w:link w:val="3"/>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22205</Words>
  <Characters>22807</Characters>
  <Lines>181</Lines>
  <Paragraphs>51</Paragraphs>
  <TotalTime>8</TotalTime>
  <ScaleCrop>false</ScaleCrop>
  <LinksUpToDate>false</LinksUpToDate>
  <CharactersWithSpaces>23338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2022-04-24T09:19:00Z</dcterms:created>
  <dc:creator>Administrator</dc:creator>
  <cp:lastModifiedBy>ADMIN</cp:lastModifiedBy>
  <dcterms:modified xsi:type="dcterms:W3CDTF">2022-04-26T02:47:27Z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6C6464F7ACFF46D6A3861075B1323387</vt:lpwstr>
  </property>
  <property fmtid="{D5CDD505-2E9C-101B-9397-08002B2CF9AE}" pid="4" name="commondata">
    <vt:lpwstr>eyJoZGlkIjoiZTgwZDhmZjE0ZDc1ZTFjOGRkN2U0MDQxY2Y3YTg0ZTgifQ==</vt:lpwstr>
  </property>
</Properties>
</file>